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4DB4">
      <w:pPr>
        <w:spacing w:after="78"/>
        <w:jc w:val="center"/>
        <w:rPr>
          <w:rFonts w:ascii="Times New Roman" w:hAnsi="Times New Roman" w:eastAsia="方正小标宋简体"/>
          <w:bCs/>
          <w:sz w:val="32"/>
          <w:szCs w:val="32"/>
        </w:rPr>
      </w:pPr>
    </w:p>
    <w:p w14:paraId="2371B47B">
      <w:pPr>
        <w:pStyle w:val="64"/>
        <w:spacing w:after="78"/>
        <w:rPr>
          <w:rFonts w:ascii="Times New Roman" w:hAnsi="Times New Roman" w:eastAsia="方正小标宋简体"/>
          <w:bCs/>
          <w:sz w:val="32"/>
          <w:szCs w:val="32"/>
        </w:rPr>
      </w:pPr>
    </w:p>
    <w:p w14:paraId="5C258E1A">
      <w:pPr>
        <w:pStyle w:val="64"/>
        <w:spacing w:after="78"/>
        <w:rPr>
          <w:rFonts w:ascii="Times New Roman" w:hAnsi="Times New Roman" w:eastAsia="方正小标宋简体"/>
          <w:bCs/>
          <w:sz w:val="32"/>
          <w:szCs w:val="32"/>
        </w:rPr>
      </w:pPr>
    </w:p>
    <w:p w14:paraId="27C956DC">
      <w:pPr>
        <w:spacing w:after="78"/>
        <w:jc w:val="center"/>
        <w:rPr>
          <w:rFonts w:ascii="Times New Roman" w:hAnsi="Times New Roman" w:eastAsia="长城小"/>
          <w:b/>
          <w:sz w:val="44"/>
          <w:szCs w:val="44"/>
        </w:rPr>
      </w:pPr>
    </w:p>
    <w:p w14:paraId="72160079">
      <w:pPr>
        <w:spacing w:after="78"/>
        <w:jc w:val="center"/>
        <w:rPr>
          <w:rFonts w:ascii="Times New Roman" w:hAnsi="Times New Roman" w:eastAsia="长城小"/>
          <w:b/>
          <w:sz w:val="44"/>
          <w:szCs w:val="44"/>
        </w:rPr>
      </w:pPr>
    </w:p>
    <w:p w14:paraId="511D17E5">
      <w:pPr>
        <w:spacing w:after="78"/>
        <w:jc w:val="center"/>
        <w:rPr>
          <w:rFonts w:ascii="Times New Roman" w:hAnsi="Times New Roman" w:eastAsia="长城小"/>
          <w:b/>
          <w:sz w:val="44"/>
          <w:szCs w:val="44"/>
        </w:rPr>
      </w:pPr>
    </w:p>
    <w:p w14:paraId="642A826F">
      <w:pPr>
        <w:spacing w:after="78"/>
        <w:rPr>
          <w:rFonts w:ascii="Times New Roman" w:hAnsi="Times New Roman" w:eastAsia="长城小"/>
          <w:b/>
          <w:sz w:val="44"/>
          <w:szCs w:val="44"/>
        </w:rPr>
      </w:pPr>
    </w:p>
    <w:p w14:paraId="4DDAB8C9">
      <w:pPr>
        <w:spacing w:after="78"/>
        <w:jc w:val="center"/>
        <w:rPr>
          <w:rFonts w:ascii="Times New Roman" w:hAnsi="Times New Roman" w:eastAsia="长城小"/>
          <w:b/>
          <w:sz w:val="44"/>
          <w:szCs w:val="44"/>
        </w:rPr>
      </w:pPr>
    </w:p>
    <w:p w14:paraId="5AEFD667">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深圳市深水水务咨询有限</w:t>
      </w:r>
      <w:r>
        <w:rPr>
          <w:rFonts w:ascii="Times New Roman" w:hAnsi="Times New Roman" w:eastAsia="长城小标宋体"/>
          <w:b/>
          <w:bCs/>
          <w:sz w:val="44"/>
          <w:szCs w:val="44"/>
        </w:rPr>
        <w:t>公司</w:t>
      </w:r>
    </w:p>
    <w:p w14:paraId="3E011006">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危险废物（液）处理处置服务集中采购项目询价</w:t>
      </w:r>
      <w:r>
        <w:rPr>
          <w:rFonts w:ascii="Times New Roman" w:hAnsi="Times New Roman" w:eastAsia="长城小标宋体"/>
          <w:b/>
          <w:bCs/>
          <w:sz w:val="44"/>
          <w:szCs w:val="44"/>
        </w:rPr>
        <w:t>告知函</w:t>
      </w:r>
    </w:p>
    <w:p w14:paraId="49D09184">
      <w:pPr>
        <w:spacing w:after="78"/>
        <w:rPr>
          <w:rFonts w:ascii="Times New Roman" w:hAnsi="Times New Roman" w:eastAsia="方正小标宋简体"/>
          <w:sz w:val="32"/>
          <w:szCs w:val="32"/>
        </w:rPr>
      </w:pPr>
    </w:p>
    <w:p w14:paraId="616B5EE6">
      <w:pPr>
        <w:spacing w:after="78"/>
        <w:rPr>
          <w:rFonts w:ascii="Times New Roman" w:hAnsi="Times New Roman" w:eastAsia="方正小标宋简体"/>
          <w:sz w:val="32"/>
          <w:szCs w:val="32"/>
        </w:rPr>
      </w:pPr>
    </w:p>
    <w:p w14:paraId="6F24979C">
      <w:pPr>
        <w:spacing w:after="78"/>
        <w:rPr>
          <w:rFonts w:ascii="Times New Roman" w:hAnsi="Times New Roman" w:eastAsia="方正小标宋简体"/>
          <w:sz w:val="32"/>
          <w:szCs w:val="32"/>
        </w:rPr>
      </w:pPr>
    </w:p>
    <w:p w14:paraId="69D937C0">
      <w:pPr>
        <w:spacing w:after="78"/>
      </w:pPr>
    </w:p>
    <w:p w14:paraId="4D3CB929">
      <w:pPr>
        <w:spacing w:after="78"/>
        <w:rPr>
          <w:rFonts w:ascii="Times New Roman" w:hAnsi="Times New Roman" w:eastAsia="方正小标宋简体"/>
          <w:sz w:val="32"/>
          <w:szCs w:val="32"/>
        </w:rPr>
      </w:pPr>
    </w:p>
    <w:p w14:paraId="2D982FC4">
      <w:pPr>
        <w:spacing w:after="78"/>
        <w:rPr>
          <w:rFonts w:ascii="Times New Roman" w:hAnsi="Times New Roman" w:eastAsia="方正小标宋简体"/>
          <w:sz w:val="32"/>
          <w:szCs w:val="32"/>
        </w:rPr>
      </w:pPr>
    </w:p>
    <w:p w14:paraId="426D2BD3">
      <w:pPr>
        <w:pStyle w:val="10"/>
        <w:rPr>
          <w:rFonts w:ascii="Times New Roman" w:hAnsi="Times New Roman" w:eastAsia="方正小标宋简体"/>
          <w:sz w:val="32"/>
          <w:szCs w:val="32"/>
        </w:rPr>
      </w:pPr>
    </w:p>
    <w:p w14:paraId="71370B46">
      <w:pPr>
        <w:spacing w:after="78"/>
      </w:pPr>
    </w:p>
    <w:p w14:paraId="67B88386">
      <w:pPr>
        <w:pStyle w:val="10"/>
      </w:pPr>
    </w:p>
    <w:p w14:paraId="2C9A98B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41E0EFE2">
      <w:pPr>
        <w:spacing w:after="78"/>
        <w:rPr>
          <w:rFonts w:ascii="Times New Roman" w:hAnsi="Times New Roman" w:eastAsia="仿宋"/>
        </w:rPr>
      </w:pPr>
    </w:p>
    <w:p w14:paraId="6D5F774F">
      <w:pPr>
        <w:pStyle w:val="4"/>
        <w:spacing w:after="78"/>
      </w:pPr>
      <w:r>
        <w:rPr>
          <w:rFonts w:hint="eastAsia"/>
        </w:rPr>
        <w:t>一、</w:t>
      </w:r>
      <w:r>
        <w:t>服务内容</w:t>
      </w:r>
    </w:p>
    <w:p w14:paraId="0270F31C">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（一）采购项目名称：危险废物（液）处理处置服务集中采购项目。</w:t>
      </w:r>
    </w:p>
    <w:p w14:paraId="422B31BE">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（二）采购需求：</w:t>
      </w:r>
    </w:p>
    <w:tbl>
      <w:tblPr>
        <w:tblStyle w:val="22"/>
        <w:tblW w:w="5139" w:type="pct"/>
        <w:jc w:val="center"/>
        <w:tblLayout w:type="fixed"/>
        <w:tblCellMar>
          <w:top w:w="0" w:type="dxa"/>
          <w:left w:w="108" w:type="dxa"/>
          <w:bottom w:w="0" w:type="dxa"/>
          <w:right w:w="108" w:type="dxa"/>
        </w:tblCellMar>
      </w:tblPr>
      <w:tblGrid>
        <w:gridCol w:w="815"/>
        <w:gridCol w:w="2591"/>
        <w:gridCol w:w="2481"/>
        <w:gridCol w:w="1370"/>
        <w:gridCol w:w="1503"/>
      </w:tblGrid>
      <w:tr w14:paraId="023F60C8">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E202530">
            <w:pPr>
              <w:widowControl/>
              <w:spacing w:after="78"/>
              <w:jc w:val="center"/>
              <w:rPr>
                <w:rFonts w:ascii="Times New Roman" w:hAnsi="Times New Roman" w:eastAsia="仿宋"/>
                <w:b/>
                <w:bCs/>
                <w:kern w:val="0"/>
                <w:sz w:val="28"/>
                <w:szCs w:val="28"/>
              </w:rPr>
            </w:pPr>
            <w:bookmarkStart w:id="0" w:name="_Hlk178340510"/>
            <w:r>
              <w:rPr>
                <w:rFonts w:hint="eastAsia" w:ascii="Times New Roman" w:hAnsi="Times New Roman" w:eastAsia="仿宋"/>
                <w:b/>
                <w:bCs/>
                <w:kern w:val="0"/>
                <w:sz w:val="28"/>
                <w:szCs w:val="28"/>
              </w:rPr>
              <w:t>深圳市深水坂雪岗水务有限公司</w:t>
            </w:r>
          </w:p>
        </w:tc>
      </w:tr>
      <w:tr w14:paraId="1FA7A7BF">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547090ED">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9" w:type="pct"/>
            <w:tcBorders>
              <w:top w:val="single" w:color="auto" w:sz="4" w:space="0"/>
              <w:left w:val="nil"/>
              <w:bottom w:val="single" w:color="auto" w:sz="4" w:space="0"/>
              <w:right w:val="single" w:color="auto" w:sz="4" w:space="0"/>
            </w:tcBorders>
            <w:vAlign w:val="center"/>
          </w:tcPr>
          <w:p w14:paraId="7D74BDBF">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vAlign w:val="center"/>
          </w:tcPr>
          <w:p w14:paraId="02A03D94">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2" w:type="pct"/>
            <w:tcBorders>
              <w:top w:val="single" w:color="auto" w:sz="4" w:space="0"/>
              <w:left w:val="nil"/>
              <w:bottom w:val="single" w:color="auto" w:sz="4" w:space="0"/>
              <w:right w:val="single" w:color="auto" w:sz="4" w:space="0"/>
            </w:tcBorders>
            <w:vAlign w:val="center"/>
          </w:tcPr>
          <w:p w14:paraId="58670D89">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6" w:type="pct"/>
            <w:tcBorders>
              <w:top w:val="single" w:color="auto" w:sz="4" w:space="0"/>
              <w:left w:val="nil"/>
              <w:bottom w:val="single" w:color="auto" w:sz="4" w:space="0"/>
              <w:right w:val="single" w:color="auto" w:sz="4" w:space="0"/>
            </w:tcBorders>
            <w:vAlign w:val="center"/>
          </w:tcPr>
          <w:p w14:paraId="047F3883">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5982D416">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7DDB2007">
            <w:pPr>
              <w:widowControl/>
              <w:spacing w:after="78"/>
              <w:jc w:val="center"/>
              <w:textAlignment w:val="center"/>
              <w:rPr>
                <w:rFonts w:ascii="Times New Roman" w:hAnsi="Times New Roman" w:eastAsia="仿宋"/>
                <w:b/>
                <w:bCs/>
                <w:kern w:val="0"/>
                <w:sz w:val="28"/>
                <w:szCs w:val="28"/>
              </w:rPr>
            </w:pPr>
            <w:r>
              <w:rPr>
                <w:rFonts w:hint="eastAsia" w:ascii="Times New Roman" w:hAnsi="Times New Roman"/>
                <w:color w:val="000000"/>
                <w:kern w:val="0"/>
                <w:sz w:val="28"/>
                <w:szCs w:val="28"/>
                <w:lang w:bidi="ar"/>
              </w:rPr>
              <w:t>1</w:t>
            </w:r>
          </w:p>
        </w:tc>
        <w:tc>
          <w:tcPr>
            <w:tcW w:w="1479" w:type="pct"/>
            <w:tcBorders>
              <w:top w:val="single" w:color="auto" w:sz="4" w:space="0"/>
              <w:left w:val="nil"/>
              <w:bottom w:val="single" w:color="auto" w:sz="4" w:space="0"/>
              <w:right w:val="single" w:color="auto" w:sz="4" w:space="0"/>
            </w:tcBorders>
            <w:shd w:val="clear" w:color="auto" w:fill="auto"/>
            <w:vAlign w:val="center"/>
          </w:tcPr>
          <w:p w14:paraId="5A689DFC">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废灯管</w:t>
            </w:r>
          </w:p>
        </w:tc>
        <w:tc>
          <w:tcPr>
            <w:tcW w:w="1416" w:type="pct"/>
            <w:tcBorders>
              <w:top w:val="single" w:color="auto" w:sz="4" w:space="0"/>
              <w:left w:val="nil"/>
              <w:bottom w:val="single" w:color="auto" w:sz="4" w:space="0"/>
              <w:right w:val="single" w:color="auto" w:sz="4" w:space="0"/>
            </w:tcBorders>
            <w:shd w:val="clear" w:color="auto" w:fill="auto"/>
            <w:vAlign w:val="center"/>
          </w:tcPr>
          <w:p w14:paraId="7A81A6A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HW29(900-023-29</w:t>
            </w:r>
            <w:r>
              <w:rPr>
                <w:rFonts w:hint="eastAsia" w:ascii="Times New Roman" w:hAnsi="Times New Roman"/>
                <w:color w:val="000000"/>
                <w:kern w:val="0"/>
                <w:sz w:val="28"/>
                <w:szCs w:val="28"/>
                <w:lang w:bidi="ar"/>
              </w:rPr>
              <w:t>)</w:t>
            </w:r>
          </w:p>
        </w:tc>
        <w:tc>
          <w:tcPr>
            <w:tcW w:w="782" w:type="pct"/>
            <w:tcBorders>
              <w:top w:val="single" w:color="auto" w:sz="4" w:space="0"/>
              <w:left w:val="nil"/>
              <w:bottom w:val="single" w:color="auto" w:sz="4" w:space="0"/>
              <w:right w:val="single" w:color="auto" w:sz="4" w:space="0"/>
            </w:tcBorders>
            <w:shd w:val="clear" w:color="auto" w:fill="auto"/>
            <w:vAlign w:val="center"/>
          </w:tcPr>
          <w:p w14:paraId="5AE4751E">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0.01吨</w:t>
            </w:r>
          </w:p>
        </w:tc>
        <w:tc>
          <w:tcPr>
            <w:tcW w:w="856" w:type="pct"/>
            <w:tcBorders>
              <w:top w:val="single" w:color="auto" w:sz="4" w:space="0"/>
              <w:left w:val="nil"/>
              <w:bottom w:val="single" w:color="auto" w:sz="4" w:space="0"/>
              <w:right w:val="single" w:color="auto" w:sz="4" w:space="0"/>
            </w:tcBorders>
            <w:shd w:val="clear" w:color="auto" w:fill="auto"/>
            <w:vAlign w:val="center"/>
          </w:tcPr>
          <w:p w14:paraId="096DEF52">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30000元/吨</w:t>
            </w:r>
          </w:p>
        </w:tc>
      </w:tr>
      <w:tr w14:paraId="1B46E6C4">
        <w:tblPrEx>
          <w:tblCellMar>
            <w:top w:w="0" w:type="dxa"/>
            <w:left w:w="108" w:type="dxa"/>
            <w:bottom w:w="0" w:type="dxa"/>
            <w:right w:w="108" w:type="dxa"/>
          </w:tblCellMar>
        </w:tblPrEx>
        <w:trPr>
          <w:trHeight w:val="9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0B0F2BC8">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9" w:type="pct"/>
            <w:tcBorders>
              <w:top w:val="single" w:color="auto" w:sz="4" w:space="0"/>
              <w:left w:val="single" w:color="auto" w:sz="4" w:space="0"/>
              <w:bottom w:val="single" w:color="auto" w:sz="4" w:space="0"/>
              <w:right w:val="single" w:color="auto" w:sz="4" w:space="0"/>
            </w:tcBorders>
            <w:vAlign w:val="center"/>
          </w:tcPr>
          <w:p w14:paraId="600F5EB0">
            <w:pPr>
              <w:widowControl/>
              <w:spacing w:after="78"/>
              <w:jc w:val="center"/>
              <w:textAlignment w:val="center"/>
              <w:rPr>
                <w:rFonts w:eastAsia="仿宋" w:cs="仿宋"/>
                <w:sz w:val="28"/>
                <w:szCs w:val="28"/>
              </w:rPr>
            </w:pPr>
            <w:r>
              <w:rPr>
                <w:rFonts w:hint="eastAsia" w:ascii="宋体" w:hAnsi="宋体" w:cs="宋体"/>
                <w:color w:val="000000"/>
                <w:kern w:val="0"/>
                <w:sz w:val="28"/>
                <w:szCs w:val="28"/>
                <w:lang w:bidi="ar"/>
              </w:rPr>
              <w:t>废酸</w:t>
            </w:r>
          </w:p>
        </w:tc>
        <w:tc>
          <w:tcPr>
            <w:tcW w:w="1416" w:type="pct"/>
            <w:tcBorders>
              <w:top w:val="single" w:color="auto" w:sz="4" w:space="0"/>
              <w:left w:val="single" w:color="auto" w:sz="4" w:space="0"/>
              <w:bottom w:val="single" w:color="auto" w:sz="4" w:space="0"/>
              <w:right w:val="single" w:color="auto" w:sz="4" w:space="0"/>
            </w:tcBorders>
            <w:vAlign w:val="center"/>
          </w:tcPr>
          <w:p w14:paraId="48B06745">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32769A0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0.3吨</w:t>
            </w:r>
          </w:p>
        </w:tc>
        <w:tc>
          <w:tcPr>
            <w:tcW w:w="856" w:type="pct"/>
            <w:tcBorders>
              <w:top w:val="single" w:color="auto" w:sz="4" w:space="0"/>
              <w:left w:val="single" w:color="auto" w:sz="4" w:space="0"/>
              <w:bottom w:val="single" w:color="auto" w:sz="4" w:space="0"/>
              <w:right w:val="single" w:color="auto" w:sz="4" w:space="0"/>
            </w:tcBorders>
            <w:vAlign w:val="center"/>
          </w:tcPr>
          <w:p w14:paraId="0B000831">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28C42063">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0A0FB211">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3</w:t>
            </w:r>
          </w:p>
        </w:tc>
        <w:tc>
          <w:tcPr>
            <w:tcW w:w="1479" w:type="pct"/>
            <w:tcBorders>
              <w:top w:val="single" w:color="auto" w:sz="4" w:space="0"/>
              <w:left w:val="single" w:color="auto" w:sz="4" w:space="0"/>
              <w:bottom w:val="single" w:color="auto" w:sz="4" w:space="0"/>
              <w:right w:val="single" w:color="auto" w:sz="4" w:space="0"/>
            </w:tcBorders>
            <w:vAlign w:val="center"/>
          </w:tcPr>
          <w:p w14:paraId="172EE6E2">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废碱</w:t>
            </w:r>
          </w:p>
        </w:tc>
        <w:tc>
          <w:tcPr>
            <w:tcW w:w="1416" w:type="pct"/>
            <w:tcBorders>
              <w:top w:val="single" w:color="auto" w:sz="4" w:space="0"/>
              <w:left w:val="single" w:color="auto" w:sz="4" w:space="0"/>
              <w:bottom w:val="single" w:color="auto" w:sz="4" w:space="0"/>
              <w:right w:val="single" w:color="auto" w:sz="4" w:space="0"/>
            </w:tcBorders>
            <w:vAlign w:val="center"/>
          </w:tcPr>
          <w:p w14:paraId="7D5C221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5295FE0A">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0.1吨</w:t>
            </w:r>
          </w:p>
        </w:tc>
        <w:tc>
          <w:tcPr>
            <w:tcW w:w="856" w:type="pct"/>
            <w:tcBorders>
              <w:top w:val="single" w:color="auto" w:sz="4" w:space="0"/>
              <w:left w:val="single" w:color="auto" w:sz="4" w:space="0"/>
              <w:bottom w:val="single" w:color="auto" w:sz="4" w:space="0"/>
              <w:right w:val="single" w:color="auto" w:sz="4" w:space="0"/>
            </w:tcBorders>
            <w:vAlign w:val="center"/>
          </w:tcPr>
          <w:p w14:paraId="5F3FAC5C">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586C87D8">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071B3D13">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4</w:t>
            </w:r>
          </w:p>
        </w:tc>
        <w:tc>
          <w:tcPr>
            <w:tcW w:w="1479" w:type="pct"/>
            <w:tcBorders>
              <w:top w:val="single" w:color="auto" w:sz="4" w:space="0"/>
              <w:left w:val="single" w:color="auto" w:sz="4" w:space="0"/>
              <w:bottom w:val="single" w:color="auto" w:sz="4" w:space="0"/>
              <w:right w:val="single" w:color="auto" w:sz="4" w:space="0"/>
            </w:tcBorders>
            <w:vAlign w:val="center"/>
          </w:tcPr>
          <w:p w14:paraId="3B02C3D7">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废空桶</w:t>
            </w:r>
          </w:p>
        </w:tc>
        <w:tc>
          <w:tcPr>
            <w:tcW w:w="1416" w:type="pct"/>
            <w:tcBorders>
              <w:top w:val="single" w:color="auto" w:sz="4" w:space="0"/>
              <w:left w:val="single" w:color="auto" w:sz="4" w:space="0"/>
              <w:bottom w:val="single" w:color="auto" w:sz="4" w:space="0"/>
              <w:right w:val="single" w:color="auto" w:sz="4" w:space="0"/>
            </w:tcBorders>
            <w:vAlign w:val="center"/>
          </w:tcPr>
          <w:p w14:paraId="741FE2F3">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HW49(900-041-49</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14:paraId="065267F0">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0.054吨</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14:paraId="226A05C8">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4B50A42">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6A46087">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报价需含2次免费收运服务。</w:t>
            </w:r>
          </w:p>
          <w:p w14:paraId="7B180CEE">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收运地址：广东省深圳市龙岗区坂田街道办事处龙岗区五和大道4025号</w:t>
            </w:r>
          </w:p>
        </w:tc>
      </w:tr>
      <w:bookmarkEnd w:id="0"/>
      <w:tr w14:paraId="05EF04FA">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057734D">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深圳市深水水务咨询有限公司-高桥污水资源化项目</w:t>
            </w:r>
          </w:p>
        </w:tc>
      </w:tr>
      <w:tr w14:paraId="4518288F">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3D9EA08B">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9" w:type="pct"/>
            <w:tcBorders>
              <w:top w:val="single" w:color="auto" w:sz="4" w:space="0"/>
              <w:left w:val="nil"/>
              <w:bottom w:val="single" w:color="auto" w:sz="4" w:space="0"/>
              <w:right w:val="single" w:color="auto" w:sz="4" w:space="0"/>
            </w:tcBorders>
            <w:vAlign w:val="center"/>
          </w:tcPr>
          <w:p w14:paraId="0981D768">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vAlign w:val="center"/>
          </w:tcPr>
          <w:p w14:paraId="55315B44">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2" w:type="pct"/>
            <w:tcBorders>
              <w:top w:val="single" w:color="auto" w:sz="4" w:space="0"/>
              <w:left w:val="nil"/>
              <w:bottom w:val="single" w:color="auto" w:sz="4" w:space="0"/>
              <w:right w:val="single" w:color="auto" w:sz="4" w:space="0"/>
            </w:tcBorders>
            <w:vAlign w:val="center"/>
          </w:tcPr>
          <w:p w14:paraId="6187192A">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6" w:type="pct"/>
            <w:tcBorders>
              <w:top w:val="single" w:color="auto" w:sz="4" w:space="0"/>
              <w:left w:val="nil"/>
              <w:bottom w:val="single" w:color="auto" w:sz="4" w:space="0"/>
              <w:right w:val="single" w:color="auto" w:sz="4" w:space="0"/>
            </w:tcBorders>
            <w:vAlign w:val="center"/>
          </w:tcPr>
          <w:p w14:paraId="16DD5BD1">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6C5809BE">
        <w:tblPrEx>
          <w:tblCellMar>
            <w:top w:w="0" w:type="dxa"/>
            <w:left w:w="108" w:type="dxa"/>
            <w:bottom w:w="0" w:type="dxa"/>
            <w:right w:w="108" w:type="dxa"/>
          </w:tblCellMar>
        </w:tblPrEx>
        <w:trPr>
          <w:trHeight w:val="9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4AD8C24D">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1</w:t>
            </w:r>
          </w:p>
        </w:tc>
        <w:tc>
          <w:tcPr>
            <w:tcW w:w="1479" w:type="pct"/>
            <w:tcBorders>
              <w:top w:val="single" w:color="auto" w:sz="4" w:space="0"/>
              <w:left w:val="single" w:color="auto" w:sz="4" w:space="0"/>
              <w:bottom w:val="single" w:color="auto" w:sz="4" w:space="0"/>
              <w:right w:val="single" w:color="auto" w:sz="4" w:space="0"/>
            </w:tcBorders>
            <w:vAlign w:val="center"/>
          </w:tcPr>
          <w:p w14:paraId="78A2E155">
            <w:pPr>
              <w:widowControl/>
              <w:spacing w:after="78"/>
              <w:jc w:val="center"/>
              <w:textAlignment w:val="center"/>
              <w:rPr>
                <w:rFonts w:eastAsia="仿宋" w:cs="仿宋"/>
                <w:sz w:val="28"/>
                <w:szCs w:val="28"/>
              </w:rPr>
            </w:pPr>
            <w:r>
              <w:rPr>
                <w:rFonts w:hint="eastAsia" w:ascii="宋体" w:hAnsi="宋体" w:cs="宋体"/>
                <w:color w:val="000000"/>
                <w:kern w:val="0"/>
                <w:sz w:val="28"/>
                <w:szCs w:val="28"/>
                <w:lang w:bidi="ar"/>
              </w:rPr>
              <w:t>废酸</w:t>
            </w:r>
          </w:p>
        </w:tc>
        <w:tc>
          <w:tcPr>
            <w:tcW w:w="1416" w:type="pct"/>
            <w:tcBorders>
              <w:top w:val="single" w:color="auto" w:sz="4" w:space="0"/>
              <w:left w:val="single" w:color="auto" w:sz="4" w:space="0"/>
              <w:bottom w:val="single" w:color="auto" w:sz="4" w:space="0"/>
              <w:right w:val="single" w:color="auto" w:sz="4" w:space="0"/>
            </w:tcBorders>
            <w:vAlign w:val="center"/>
          </w:tcPr>
          <w:p w14:paraId="1BAB6029">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1894B620">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0.8吨</w:t>
            </w:r>
          </w:p>
        </w:tc>
        <w:tc>
          <w:tcPr>
            <w:tcW w:w="856" w:type="pct"/>
            <w:tcBorders>
              <w:top w:val="single" w:color="auto" w:sz="4" w:space="0"/>
              <w:left w:val="single" w:color="auto" w:sz="4" w:space="0"/>
              <w:bottom w:val="single" w:color="auto" w:sz="4" w:space="0"/>
              <w:right w:val="single" w:color="auto" w:sz="4" w:space="0"/>
            </w:tcBorders>
            <w:vAlign w:val="center"/>
          </w:tcPr>
          <w:p w14:paraId="1C1BAA11">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2B88A0FA">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087AA760">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9" w:type="pct"/>
            <w:tcBorders>
              <w:top w:val="single" w:color="auto" w:sz="4" w:space="0"/>
              <w:left w:val="single" w:color="auto" w:sz="4" w:space="0"/>
              <w:bottom w:val="single" w:color="auto" w:sz="4" w:space="0"/>
              <w:right w:val="single" w:color="auto" w:sz="4" w:space="0"/>
            </w:tcBorders>
            <w:vAlign w:val="center"/>
          </w:tcPr>
          <w:p w14:paraId="6473D056">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废碱</w:t>
            </w:r>
          </w:p>
        </w:tc>
        <w:tc>
          <w:tcPr>
            <w:tcW w:w="1416" w:type="pct"/>
            <w:tcBorders>
              <w:top w:val="single" w:color="auto" w:sz="4" w:space="0"/>
              <w:left w:val="single" w:color="auto" w:sz="4" w:space="0"/>
              <w:bottom w:val="single" w:color="auto" w:sz="4" w:space="0"/>
              <w:right w:val="single" w:color="auto" w:sz="4" w:space="0"/>
            </w:tcBorders>
            <w:vAlign w:val="center"/>
          </w:tcPr>
          <w:p w14:paraId="4A0C5180">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559F88AB">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0.7吨</w:t>
            </w:r>
          </w:p>
        </w:tc>
        <w:tc>
          <w:tcPr>
            <w:tcW w:w="856" w:type="pct"/>
            <w:tcBorders>
              <w:top w:val="single" w:color="auto" w:sz="4" w:space="0"/>
              <w:left w:val="single" w:color="auto" w:sz="4" w:space="0"/>
              <w:bottom w:val="single" w:color="auto" w:sz="4" w:space="0"/>
              <w:right w:val="single" w:color="auto" w:sz="4" w:space="0"/>
            </w:tcBorders>
            <w:vAlign w:val="center"/>
          </w:tcPr>
          <w:p w14:paraId="644AFAE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0B58E86A">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394529D">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报价需含2次免费收运服务。</w:t>
            </w:r>
          </w:p>
          <w:p w14:paraId="5C3228ED">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收运地址：深圳市龙岗区坪地街道高桥社区塘桥东路丁山河东岸绿化带</w:t>
            </w:r>
          </w:p>
        </w:tc>
      </w:tr>
      <w:tr w14:paraId="5586ECB4">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CD8D597">
            <w:pPr>
              <w:widowControl/>
              <w:spacing w:after="78"/>
              <w:jc w:val="center"/>
              <w:rPr>
                <w:rFonts w:ascii="Times New Roman" w:hAnsi="Times New Roman" w:eastAsia="仿宋"/>
                <w:b/>
                <w:bCs/>
                <w:kern w:val="0"/>
                <w:sz w:val="28"/>
                <w:szCs w:val="28"/>
              </w:rPr>
            </w:pPr>
            <w:r>
              <w:rPr>
                <w:rFonts w:hint="eastAsia" w:eastAsia="仿宋"/>
                <w:b/>
                <w:bCs/>
                <w:color w:val="000000"/>
                <w:kern w:val="0"/>
                <w:sz w:val="28"/>
                <w:szCs w:val="28"/>
              </w:rPr>
              <w:t>深圳市深水</w:t>
            </w:r>
            <w:r>
              <w:rPr>
                <w:rFonts w:hint="eastAsia" w:eastAsia="仿宋"/>
                <w:b/>
                <w:bCs/>
                <w:color w:val="000000"/>
                <w:kern w:val="0"/>
                <w:sz w:val="28"/>
                <w:szCs w:val="28"/>
                <w:lang w:val="en-US" w:eastAsia="zh-CN"/>
              </w:rPr>
              <w:t>环境科技</w:t>
            </w:r>
            <w:r>
              <w:rPr>
                <w:rFonts w:hint="eastAsia" w:eastAsia="仿宋"/>
                <w:b/>
                <w:bCs/>
                <w:color w:val="000000"/>
                <w:kern w:val="0"/>
                <w:sz w:val="28"/>
                <w:szCs w:val="28"/>
              </w:rPr>
              <w:t>有限公司-观澜河口调蓄池项目</w:t>
            </w:r>
          </w:p>
        </w:tc>
      </w:tr>
      <w:tr w14:paraId="482C0581">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34339021">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9" w:type="pct"/>
            <w:tcBorders>
              <w:top w:val="single" w:color="auto" w:sz="4" w:space="0"/>
              <w:left w:val="nil"/>
              <w:bottom w:val="single" w:color="auto" w:sz="4" w:space="0"/>
              <w:right w:val="single" w:color="auto" w:sz="4" w:space="0"/>
            </w:tcBorders>
            <w:vAlign w:val="center"/>
          </w:tcPr>
          <w:p w14:paraId="392D1A8E">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vAlign w:val="center"/>
          </w:tcPr>
          <w:p w14:paraId="126087E4">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2" w:type="pct"/>
            <w:tcBorders>
              <w:top w:val="single" w:color="auto" w:sz="4" w:space="0"/>
              <w:left w:val="nil"/>
              <w:bottom w:val="single" w:color="auto" w:sz="4" w:space="0"/>
              <w:right w:val="single" w:color="auto" w:sz="4" w:space="0"/>
            </w:tcBorders>
            <w:vAlign w:val="center"/>
          </w:tcPr>
          <w:p w14:paraId="1C49E230">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6" w:type="pct"/>
            <w:tcBorders>
              <w:top w:val="single" w:color="auto" w:sz="4" w:space="0"/>
              <w:left w:val="nil"/>
              <w:bottom w:val="single" w:color="auto" w:sz="4" w:space="0"/>
              <w:right w:val="single" w:color="auto" w:sz="4" w:space="0"/>
            </w:tcBorders>
            <w:vAlign w:val="center"/>
          </w:tcPr>
          <w:p w14:paraId="5977134B">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190507B0">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5BDBF6DC">
            <w:pPr>
              <w:widowControl/>
              <w:spacing w:after="78"/>
              <w:jc w:val="center"/>
              <w:textAlignment w:val="center"/>
              <w:rPr>
                <w:rFonts w:ascii="Times New Roman" w:hAnsi="Times New Roman" w:eastAsia="仿宋"/>
                <w:b/>
                <w:bCs/>
                <w:kern w:val="0"/>
                <w:sz w:val="28"/>
                <w:szCs w:val="28"/>
              </w:rPr>
            </w:pPr>
            <w:r>
              <w:rPr>
                <w:rFonts w:hint="eastAsia" w:ascii="Times New Roman" w:hAnsi="Times New Roman"/>
                <w:color w:val="000000"/>
                <w:kern w:val="0"/>
                <w:sz w:val="28"/>
                <w:szCs w:val="28"/>
                <w:lang w:bidi="ar"/>
              </w:rPr>
              <w:t>1</w:t>
            </w:r>
          </w:p>
        </w:tc>
        <w:tc>
          <w:tcPr>
            <w:tcW w:w="1479" w:type="pct"/>
            <w:tcBorders>
              <w:top w:val="single" w:color="auto" w:sz="4" w:space="0"/>
              <w:left w:val="nil"/>
              <w:bottom w:val="single" w:color="auto" w:sz="4" w:space="0"/>
              <w:right w:val="single" w:color="auto" w:sz="4" w:space="0"/>
            </w:tcBorders>
            <w:shd w:val="clear" w:color="auto" w:fill="auto"/>
            <w:vAlign w:val="center"/>
          </w:tcPr>
          <w:p w14:paraId="209A3D53">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废灯管</w:t>
            </w:r>
          </w:p>
        </w:tc>
        <w:tc>
          <w:tcPr>
            <w:tcW w:w="1416" w:type="pct"/>
            <w:tcBorders>
              <w:top w:val="single" w:color="auto" w:sz="4" w:space="0"/>
              <w:left w:val="nil"/>
              <w:bottom w:val="single" w:color="auto" w:sz="4" w:space="0"/>
              <w:right w:val="single" w:color="auto" w:sz="4" w:space="0"/>
            </w:tcBorders>
            <w:shd w:val="clear" w:color="auto" w:fill="auto"/>
            <w:vAlign w:val="center"/>
          </w:tcPr>
          <w:p w14:paraId="582F661A">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HW29(900-023-29</w:t>
            </w:r>
            <w:r>
              <w:rPr>
                <w:rFonts w:hint="eastAsia" w:ascii="Times New Roman" w:hAnsi="Times New Roman"/>
                <w:color w:val="000000"/>
                <w:kern w:val="0"/>
                <w:sz w:val="28"/>
                <w:szCs w:val="28"/>
                <w:lang w:bidi="ar"/>
              </w:rPr>
              <w:t>)</w:t>
            </w:r>
          </w:p>
        </w:tc>
        <w:tc>
          <w:tcPr>
            <w:tcW w:w="782" w:type="pct"/>
            <w:tcBorders>
              <w:top w:val="single" w:color="auto" w:sz="4" w:space="0"/>
              <w:left w:val="nil"/>
              <w:bottom w:val="single" w:color="auto" w:sz="4" w:space="0"/>
              <w:right w:val="single" w:color="auto" w:sz="4" w:space="0"/>
            </w:tcBorders>
            <w:shd w:val="clear" w:color="auto" w:fill="auto"/>
            <w:vAlign w:val="center"/>
          </w:tcPr>
          <w:p w14:paraId="2D6CE231">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0.01吨</w:t>
            </w:r>
          </w:p>
        </w:tc>
        <w:tc>
          <w:tcPr>
            <w:tcW w:w="856" w:type="pct"/>
            <w:tcBorders>
              <w:top w:val="single" w:color="auto" w:sz="4" w:space="0"/>
              <w:left w:val="nil"/>
              <w:bottom w:val="single" w:color="auto" w:sz="4" w:space="0"/>
              <w:right w:val="single" w:color="auto" w:sz="4" w:space="0"/>
            </w:tcBorders>
            <w:shd w:val="clear" w:color="auto" w:fill="auto"/>
            <w:vAlign w:val="center"/>
          </w:tcPr>
          <w:p w14:paraId="452E371C">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30000元/吨</w:t>
            </w:r>
          </w:p>
        </w:tc>
      </w:tr>
      <w:tr w14:paraId="15E58969">
        <w:tblPrEx>
          <w:tblCellMar>
            <w:top w:w="0" w:type="dxa"/>
            <w:left w:w="108" w:type="dxa"/>
            <w:bottom w:w="0" w:type="dxa"/>
            <w:right w:w="108" w:type="dxa"/>
          </w:tblCellMar>
        </w:tblPrEx>
        <w:trPr>
          <w:trHeight w:val="90"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7104AE98">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9" w:type="pct"/>
            <w:tcBorders>
              <w:top w:val="single" w:color="auto" w:sz="4" w:space="0"/>
              <w:left w:val="single" w:color="auto" w:sz="4" w:space="0"/>
              <w:bottom w:val="single" w:color="auto" w:sz="4" w:space="0"/>
              <w:right w:val="single" w:color="auto" w:sz="4" w:space="0"/>
            </w:tcBorders>
            <w:vAlign w:val="center"/>
          </w:tcPr>
          <w:p w14:paraId="5BAAFE3E">
            <w:pPr>
              <w:widowControl/>
              <w:spacing w:after="78"/>
              <w:jc w:val="center"/>
              <w:textAlignment w:val="center"/>
              <w:rPr>
                <w:rFonts w:eastAsia="仿宋" w:cs="仿宋"/>
                <w:sz w:val="28"/>
                <w:szCs w:val="28"/>
              </w:rPr>
            </w:pPr>
            <w:r>
              <w:rPr>
                <w:rFonts w:hint="eastAsia" w:ascii="宋体" w:hAnsi="宋体" w:cs="宋体"/>
                <w:color w:val="000000"/>
                <w:kern w:val="0"/>
                <w:sz w:val="28"/>
                <w:szCs w:val="28"/>
                <w:lang w:bidi="ar"/>
              </w:rPr>
              <w:t>废酸</w:t>
            </w:r>
          </w:p>
        </w:tc>
        <w:tc>
          <w:tcPr>
            <w:tcW w:w="1416" w:type="pct"/>
            <w:tcBorders>
              <w:top w:val="single" w:color="auto" w:sz="4" w:space="0"/>
              <w:left w:val="single" w:color="auto" w:sz="4" w:space="0"/>
              <w:bottom w:val="single" w:color="auto" w:sz="4" w:space="0"/>
              <w:right w:val="single" w:color="auto" w:sz="4" w:space="0"/>
            </w:tcBorders>
            <w:vAlign w:val="center"/>
          </w:tcPr>
          <w:p w14:paraId="49E888A2">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78CE8F35">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0.8吨</w:t>
            </w:r>
          </w:p>
        </w:tc>
        <w:tc>
          <w:tcPr>
            <w:tcW w:w="856" w:type="pct"/>
            <w:tcBorders>
              <w:top w:val="single" w:color="auto" w:sz="4" w:space="0"/>
              <w:left w:val="single" w:color="auto" w:sz="4" w:space="0"/>
              <w:bottom w:val="single" w:color="auto" w:sz="4" w:space="0"/>
              <w:right w:val="single" w:color="auto" w:sz="4" w:space="0"/>
            </w:tcBorders>
            <w:vAlign w:val="center"/>
          </w:tcPr>
          <w:p w14:paraId="2758D4B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273EC4E">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21D55092">
            <w:pPr>
              <w:widowControl/>
              <w:spacing w:after="78"/>
              <w:jc w:val="center"/>
              <w:textAlignment w:val="center"/>
              <w:rPr>
                <w:rFonts w:ascii="Times New Roman" w:hAnsi="Times New Roman" w:eastAsia="仿宋"/>
                <w:kern w:val="0"/>
                <w:sz w:val="28"/>
                <w:szCs w:val="28"/>
              </w:rPr>
            </w:pPr>
            <w:r>
              <w:rPr>
                <w:rFonts w:ascii="Times New Roman" w:hAnsi="Times New Roman"/>
                <w:color w:val="000000"/>
                <w:kern w:val="0"/>
                <w:sz w:val="28"/>
                <w:szCs w:val="28"/>
                <w:lang w:bidi="ar"/>
              </w:rPr>
              <w:t>3</w:t>
            </w:r>
          </w:p>
        </w:tc>
        <w:tc>
          <w:tcPr>
            <w:tcW w:w="1479" w:type="pct"/>
            <w:tcBorders>
              <w:top w:val="single" w:color="auto" w:sz="4" w:space="0"/>
              <w:left w:val="single" w:color="auto" w:sz="4" w:space="0"/>
              <w:bottom w:val="single" w:color="auto" w:sz="4" w:space="0"/>
              <w:right w:val="single" w:color="auto" w:sz="4" w:space="0"/>
            </w:tcBorders>
            <w:vAlign w:val="center"/>
          </w:tcPr>
          <w:p w14:paraId="0F80B933">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废碱</w:t>
            </w:r>
          </w:p>
        </w:tc>
        <w:tc>
          <w:tcPr>
            <w:tcW w:w="1416" w:type="pct"/>
            <w:tcBorders>
              <w:top w:val="single" w:color="auto" w:sz="4" w:space="0"/>
              <w:left w:val="single" w:color="auto" w:sz="4" w:space="0"/>
              <w:bottom w:val="single" w:color="auto" w:sz="4" w:space="0"/>
              <w:right w:val="single" w:color="auto" w:sz="4" w:space="0"/>
            </w:tcBorders>
            <w:vAlign w:val="center"/>
          </w:tcPr>
          <w:p w14:paraId="584D89EE">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vAlign w:val="center"/>
          </w:tcPr>
          <w:p w14:paraId="31B15657">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1.2吨</w:t>
            </w:r>
          </w:p>
        </w:tc>
        <w:tc>
          <w:tcPr>
            <w:tcW w:w="856" w:type="pct"/>
            <w:tcBorders>
              <w:top w:val="single" w:color="auto" w:sz="4" w:space="0"/>
              <w:left w:val="single" w:color="auto" w:sz="4" w:space="0"/>
              <w:bottom w:val="single" w:color="auto" w:sz="4" w:space="0"/>
              <w:right w:val="single" w:color="auto" w:sz="4" w:space="0"/>
            </w:tcBorders>
            <w:vAlign w:val="center"/>
          </w:tcPr>
          <w:p w14:paraId="7B4A0A23">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AB24994">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143D5577">
            <w:pPr>
              <w:widowControl/>
              <w:spacing w:after="78"/>
              <w:jc w:val="center"/>
              <w:textAlignment w:val="center"/>
              <w:rPr>
                <w:rFonts w:ascii="Times New Roman" w:hAnsi="Times New Roman" w:eastAsia="仿宋"/>
                <w:kern w:val="0"/>
                <w:sz w:val="28"/>
                <w:szCs w:val="28"/>
              </w:rPr>
            </w:pPr>
            <w:r>
              <w:rPr>
                <w:rFonts w:ascii="Times New Roman" w:hAnsi="Times New Roman"/>
                <w:color w:val="000000"/>
                <w:kern w:val="0"/>
                <w:sz w:val="28"/>
                <w:szCs w:val="28"/>
                <w:lang w:bidi="ar"/>
              </w:rPr>
              <w:t>4</w:t>
            </w:r>
          </w:p>
        </w:tc>
        <w:tc>
          <w:tcPr>
            <w:tcW w:w="1479" w:type="pct"/>
            <w:tcBorders>
              <w:top w:val="single" w:color="auto" w:sz="4" w:space="0"/>
              <w:left w:val="single" w:color="auto" w:sz="4" w:space="0"/>
              <w:bottom w:val="single" w:color="auto" w:sz="4" w:space="0"/>
              <w:right w:val="single" w:color="auto" w:sz="4" w:space="0"/>
            </w:tcBorders>
            <w:vAlign w:val="center"/>
          </w:tcPr>
          <w:p w14:paraId="100463A4">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废空桶</w:t>
            </w:r>
          </w:p>
        </w:tc>
        <w:tc>
          <w:tcPr>
            <w:tcW w:w="1416" w:type="pct"/>
            <w:tcBorders>
              <w:top w:val="single" w:color="auto" w:sz="4" w:space="0"/>
              <w:left w:val="single" w:color="auto" w:sz="4" w:space="0"/>
              <w:bottom w:val="single" w:color="auto" w:sz="4" w:space="0"/>
              <w:right w:val="single" w:color="auto" w:sz="4" w:space="0"/>
            </w:tcBorders>
            <w:vAlign w:val="center"/>
          </w:tcPr>
          <w:p w14:paraId="136F40E7">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HW49(900-041-49</w:t>
            </w:r>
            <w:r>
              <w:rPr>
                <w:rFonts w:hint="eastAsia" w:ascii="Times New Roman" w:hAnsi="Times New Roman"/>
                <w:color w:val="000000"/>
                <w:kern w:val="0"/>
                <w:sz w:val="28"/>
                <w:szCs w:val="28"/>
                <w:lang w:bidi="ar"/>
              </w:rPr>
              <w:t>)</w:t>
            </w:r>
          </w:p>
        </w:tc>
        <w:tc>
          <w:tcPr>
            <w:tcW w:w="782" w:type="pct"/>
            <w:tcBorders>
              <w:top w:val="single" w:color="auto" w:sz="4" w:space="0"/>
              <w:left w:val="single" w:color="auto" w:sz="4" w:space="0"/>
              <w:bottom w:val="single" w:color="auto" w:sz="4" w:space="0"/>
              <w:right w:val="single" w:color="auto" w:sz="4" w:space="0"/>
            </w:tcBorders>
            <w:shd w:val="clear" w:color="auto" w:fill="auto"/>
            <w:vAlign w:val="center"/>
          </w:tcPr>
          <w:p w14:paraId="2E19ABD8">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0.027吨</w:t>
            </w:r>
          </w:p>
        </w:tc>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14:paraId="29E253B6">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1E75FD7C">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4BD9226">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报价需含2次免费收运服务。</w:t>
            </w:r>
          </w:p>
          <w:p w14:paraId="079C9E6A">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收运地址：深圳市龙华区观澜街道桂花路380号；</w:t>
            </w:r>
          </w:p>
        </w:tc>
      </w:tr>
    </w:tbl>
    <w:p w14:paraId="2F8A41A2">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采购人不对服务期限内授予中选单位的采购份额、采购合同总额进行承诺，上表所列预估量仅供供应商参考使用，不作为采购人对实际采购量的承诺或保证。采购人的实际需求数量以采购人每批次的服务通知为准，在服务期内参选单位不得因采购单位实际采购数量的减少或增加而要求提供任何形式的补偿或赔偿或要求采购人按暂定数量采购相应服务。</w:t>
      </w:r>
    </w:p>
    <w:p w14:paraId="6604B78B">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供应商报价应包括但不限于运输服务费、装卸及包装费、转移联单及行政手续费、处理处置费等与本合同全部工作内容有关的一切费用。</w:t>
      </w:r>
    </w:p>
    <w:p w14:paraId="5E024B93">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（三）限价要求：</w:t>
      </w:r>
      <w:bookmarkStart w:id="1" w:name="_Hlk186470047"/>
      <w:r>
        <w:rPr>
          <w:rFonts w:hint="eastAsia" w:ascii="Times New Roman" w:hAnsi="Times New Roman" w:eastAsia="仿宋"/>
          <w:bCs/>
          <w:color w:val="000000"/>
          <w:sz w:val="32"/>
          <w:szCs w:val="32"/>
        </w:rPr>
        <w:t>见上表。各分项报价均不得超过对应限价要求，否则做无效报价。</w:t>
      </w:r>
      <w:bookmarkEnd w:id="1"/>
    </w:p>
    <w:p w14:paraId="191A3ED1">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四）采购期限：本项目合同期为1年，在收到甲方的转运通知后7日内安排收运。本项目为长期服务项目，采购人可以视合同履约情况和需求决定是否续签，原则上一年一签，连续履行期限最长不得超过三年。任一合同期内，采购人有权随时终止合同，中选单位不得因合同终止或未能续签向采购主张责任或要求赔偿预期利益等损失。</w:t>
      </w:r>
    </w:p>
    <w:p w14:paraId="1EE8876F">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五）付款方式：据实支付，每次服务结束后，根据危废运输联单上不同种类危废的数量，计算各项数量与其对应单价的乘积之和，为当次的服务费用。采购人在收到中标单位开具的等额发票之后，支付当次服务费。（计重方式：在甲方厂区内或者附近过磅称重，由甲方提供计重工具或在甲方人员陪同下使用乙方提供的计重工具进行计重）</w:t>
      </w:r>
    </w:p>
    <w:p w14:paraId="59A066F1">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六）合同有效期内，乙方免费提供6次工业废物（液）收运服务，每个项目2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p>
    <w:p w14:paraId="799A1F89">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七）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个工作日内向乙方支付超出部分的处置费用。以上价格为含税价，乙方应依法向甲方开具增值税专用发票。</w:t>
      </w:r>
    </w:p>
    <w:p w14:paraId="28B8D1DE">
      <w:pPr>
        <w:widowControl/>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（八）本项目为深圳市深水水务咨询有限公司集中采购项目，服务对象为深圳市深水水务咨询有限公司及其子公司，故由深圳市深水水务咨询有限公司、深圳市深水坂雪岗水务有限公司</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lang w:val="en-US" w:eastAsia="zh-CN"/>
        </w:rPr>
        <w:t>深圳市深水环境科技有限公司</w:t>
      </w:r>
      <w:r>
        <w:rPr>
          <w:rFonts w:hint="eastAsia" w:ascii="Times New Roman" w:hAnsi="Times New Roman" w:eastAsia="仿宋" w:cs="仿宋"/>
          <w:kern w:val="0"/>
          <w:sz w:val="32"/>
          <w:szCs w:val="32"/>
        </w:rPr>
        <w:t>分别与中选人签订服务协议。</w:t>
      </w:r>
    </w:p>
    <w:p w14:paraId="5557F84E">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二、资格要求及证明材料</w:t>
      </w:r>
    </w:p>
    <w:p w14:paraId="2ADDAD31">
      <w:pPr>
        <w:pStyle w:val="21"/>
        <w:spacing w:after="78"/>
        <w:ind w:left="0" w:leftChars="0" w:firstLine="640"/>
        <w:rPr>
          <w:rFonts w:ascii="Times New Roman" w:hAnsi="Times New Roman" w:eastAsia="仿宋"/>
          <w:bCs/>
          <w:color w:val="000000"/>
          <w:sz w:val="32"/>
          <w:szCs w:val="32"/>
        </w:rPr>
      </w:pPr>
      <w:bookmarkStart w:id="2" w:name="_Hlk173241672"/>
      <w:r>
        <w:rPr>
          <w:rFonts w:hint="eastAsia" w:ascii="Times New Roman" w:hAnsi="Times New Roman" w:eastAsia="仿宋"/>
          <w:bCs/>
          <w:color w:val="000000"/>
          <w:sz w:val="32"/>
          <w:szCs w:val="32"/>
        </w:rPr>
        <w:t>（一）须在中华人民共和国境内注册，具备独立承担民事责任的能力；</w:t>
      </w:r>
    </w:p>
    <w:p w14:paraId="1549F703">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（二）具有良好的商业信誉、未被列入工商系统经营异常名录或严重违法失信企业名单，未被列入人民法院公布的失信被执行人名单（由供应商在《承诺函》中作出声明）；</w:t>
      </w:r>
    </w:p>
    <w:p w14:paraId="5195E922">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7F1D9C48">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（三）财务状况要求：近一年内或成立至今（成立不足一年的单位）财务状况无亏损或净资产大于0（由供应商在《承诺函》中作出声明）；</w:t>
      </w:r>
    </w:p>
    <w:p w14:paraId="2E017BAE">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（四）近两年内（2023年8月至今）或成立至今（成立不足两年的单位）至少具备一项正在实施或已完成的类似业绩（由供应商在《承诺函》中作出声明）；</w:t>
      </w:r>
    </w:p>
    <w:p w14:paraId="09F29011">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（五）单位负责人为同一人或者存在直接控股、管理关系的不同供应商，不得参加同一合同项下的采购活动（由供应商在《承诺函》中作出声明）；</w:t>
      </w:r>
    </w:p>
    <w:p w14:paraId="398D8516">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（六）不接受联合体参选（由供应商在《承诺函》中作出声明）；</w:t>
      </w:r>
    </w:p>
    <w:p w14:paraId="05377D94">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七）投标人须具备由人民政府环境保护主管部门颁发的有效期内的危险废物经营许可证或危险废物收集许可证，核准经营内容须包含:HW29(900-023-29)含汞废物；HW34(900-349-34)废酸；HW35(900-349-34)废碱；HW49(900-041-49)废空桶(1、其中主要危废：HW34(900-349-34)废酸、HW35(900-349-34)废碱，参选单位必须自身具备处置资质。提供危险废物经营许可证扫描件，原件备查；2、关于含汞废物或废空桶处置的资质，可提供危废经营许可证或提供危险废物收集许可证+相应处置单位的经营许可证、营业执照及与其签订的处置合同关键页)。</w:t>
      </w:r>
    </w:p>
    <w:bookmarkEnd w:id="2"/>
    <w:p w14:paraId="3CD94F69">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三、参选文件要求</w:t>
      </w:r>
    </w:p>
    <w:p w14:paraId="77C85545">
      <w:pPr>
        <w:widowControl/>
        <w:tabs>
          <w:tab w:val="left" w:pos="7665"/>
        </w:tabs>
        <w:spacing w:after="78" w:line="640" w:lineRule="exact"/>
        <w:ind w:firstLine="640" w:firstLineChars="200"/>
        <w:rPr>
          <w:rFonts w:ascii="Times New Roman" w:hAnsi="Times New Roman" w:eastAsia="仿宋" w:cs="仿宋"/>
          <w:kern w:val="0"/>
          <w:sz w:val="32"/>
          <w:szCs w:val="32"/>
        </w:rPr>
      </w:pPr>
      <w:bookmarkStart w:id="3" w:name="_Hlk183095083"/>
      <w:bookmarkStart w:id="4" w:name="_Hlk173242120"/>
      <w:r>
        <w:rPr>
          <w:rFonts w:hint="eastAsia" w:ascii="Times New Roman" w:hAnsi="Times New Roman" w:eastAsia="仿宋" w:cs="仿宋"/>
          <w:kern w:val="0"/>
          <w:sz w:val="32"/>
          <w:szCs w:val="32"/>
        </w:rPr>
        <w:t>参选单位应就本次选聘报送相关参选文件，包括：</w:t>
      </w:r>
      <w:bookmarkEnd w:id="3"/>
    </w:p>
    <w:p w14:paraId="5B7C2802">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1.供应商基本情况表；</w:t>
      </w:r>
    </w:p>
    <w:p w14:paraId="4517BCF4">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2.资质文件（承诺函、营业执照、</w:t>
      </w:r>
      <w:r>
        <w:rPr>
          <w:rFonts w:hint="eastAsia" w:ascii="Times New Roman" w:hAnsi="Times New Roman" w:eastAsia="仿宋"/>
          <w:bCs/>
          <w:color w:val="000000"/>
          <w:sz w:val="32"/>
          <w:szCs w:val="32"/>
        </w:rPr>
        <w:t>危险废物经营</w:t>
      </w:r>
      <w:r>
        <w:rPr>
          <w:rFonts w:hint="eastAsia" w:ascii="Times New Roman" w:hAnsi="Times New Roman" w:eastAsia="仿宋"/>
          <w:bCs/>
          <w:sz w:val="32"/>
          <w:szCs w:val="32"/>
        </w:rPr>
        <w:t>许可证或危险废物收集许可证+相应处置单位的经营许可证、营业执照及与其签订的处置合同关键页</w:t>
      </w:r>
      <w:r>
        <w:rPr>
          <w:rFonts w:hint="eastAsia" w:ascii="Times New Roman" w:hAnsi="Times New Roman" w:eastAsia="仿宋" w:cs="仿宋"/>
          <w:kern w:val="0"/>
          <w:sz w:val="32"/>
          <w:szCs w:val="32"/>
        </w:rPr>
        <w:t>等）；</w:t>
      </w:r>
    </w:p>
    <w:p w14:paraId="3AB8A985">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594C14BA">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cs="仿宋"/>
          <w:kern w:val="0"/>
          <w:sz w:val="32"/>
          <w:szCs w:val="32"/>
        </w:rPr>
        <w:t>以上格式可参考第三章 报价文件格式，以上资料均需加盖公章、业务章或合同章（三选一），否则报价无效，并在截止时间前完成报价</w:t>
      </w:r>
      <w:r>
        <w:rPr>
          <w:rFonts w:hint="eastAsia" w:ascii="Times New Roman" w:hAnsi="Times New Roman" w:eastAsia="仿宋"/>
          <w:bCs/>
          <w:color w:val="000000"/>
          <w:sz w:val="32"/>
          <w:szCs w:val="32"/>
        </w:rPr>
        <w:t>。</w:t>
      </w:r>
    </w:p>
    <w:p w14:paraId="56C4135D">
      <w:pPr>
        <w:pStyle w:val="4"/>
        <w:spacing w:after="78"/>
      </w:pPr>
      <w:r>
        <w:rPr>
          <w:rFonts w:hint="eastAsia"/>
        </w:rPr>
        <w:t>四、选聘程序</w:t>
      </w:r>
    </w:p>
    <w:p w14:paraId="3B27B0E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（一）在截止报价时间前，各参选单位以邮件形式递交报价文件至询价公告指定邮箱（邮件标题：公司名称+危险废物（液）处理处置服务集中采购项目）；</w:t>
      </w:r>
    </w:p>
    <w:p w14:paraId="7CBB3B47">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（二）评审委员会对参选单位进行资格审查，如存在审核未通过的单位，则记录原因并通知未通过的单位；</w:t>
      </w:r>
    </w:p>
    <w:p w14:paraId="35DE0210">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（三）评审委员会根据询价规则形成询价报告，确定候选人排名；</w:t>
      </w:r>
    </w:p>
    <w:p w14:paraId="2101EF9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（四）询价结束后，采购人将询价结果报公司内部决策，通过后将结果通知中选单位，双方择日签订正式协议。</w:t>
      </w:r>
    </w:p>
    <w:p w14:paraId="62521EAB">
      <w:pPr>
        <w:pStyle w:val="4"/>
        <w:spacing w:after="78"/>
        <w:rPr>
          <w:rFonts w:cs="黑体"/>
          <w:kern w:val="0"/>
        </w:rPr>
      </w:pPr>
      <w:r>
        <w:rPr>
          <w:rFonts w:hint="eastAsia"/>
        </w:rPr>
        <w:t>五、选聘材料提交</w:t>
      </w:r>
    </w:p>
    <w:p w14:paraId="036F6EA6">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（一）响应文件递交截止时间为2025年8月16日18时00分（北京时间）；</w:t>
      </w:r>
    </w:p>
    <w:p w14:paraId="64F498B0">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（二）响应文件递交方式</w:t>
      </w:r>
    </w:p>
    <w:p w14:paraId="16929598">
      <w:pPr>
        <w:widowControl/>
        <w:spacing w:after="78"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本次文件递交方式采用线上递交，PDF盖章版响应文件必须在递交截止时间前发送至采购联系人邮箱。响应文件递交截止时间前未完成报价文件发送的，视为不参选</w:t>
      </w:r>
      <w:r>
        <w:rPr>
          <w:rFonts w:ascii="Times New Roman" w:hAnsi="Times New Roman" w:eastAsia="仿宋"/>
          <w:bCs/>
          <w:sz w:val="32"/>
          <w:szCs w:val="32"/>
        </w:rPr>
        <w:t>。</w:t>
      </w:r>
    </w:p>
    <w:p w14:paraId="1081B326">
      <w:pPr>
        <w:pStyle w:val="4"/>
        <w:spacing w:after="78"/>
      </w:pPr>
      <w:r>
        <w:rPr>
          <w:rFonts w:hint="eastAsia"/>
        </w:rPr>
        <w:t>六、评审规则</w:t>
      </w:r>
    </w:p>
    <w:p w14:paraId="5AC284D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根据单个项目需求进行评审。单个项目的报价单位需不少于3个，否则做询价失败处理，同一报价单位可选择对一个或多个项目进行报价，可兼投兼中。</w:t>
      </w:r>
    </w:p>
    <w:p w14:paraId="736FAD6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次评审设一轮报价，采用最低投标价法。采购人对所有参选供应商进行资格性、符合性审查，资格性、符合性审查合格的供应商报价成立，根据最低价法确定中选人。按项目单独评审，单个项目响应报价总价（以不含税价为准）由低到高顺序排列，排名第一的参选单位为该项目候选中标单位。</w:t>
      </w:r>
    </w:p>
    <w:p w14:paraId="1E5C658C">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本采购项目以不含税价进行对比，供应商需填报含税价、税率；不含税价计算方式：不含税价=含税价/（1+税率）。</w:t>
      </w:r>
    </w:p>
    <w:p w14:paraId="59B05B96">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如出现并列最低报价，以报价文件递交时间在先者优先中选。若中选供应商放弃资格，则按报价由低到高顺序依次递补。</w:t>
      </w:r>
    </w:p>
    <w:p w14:paraId="5DB67E61">
      <w:pPr>
        <w:pStyle w:val="4"/>
        <w:spacing w:after="78"/>
      </w:pPr>
      <w:r>
        <w:rPr>
          <w:rFonts w:hint="eastAsia"/>
        </w:rPr>
        <w:t>七、限价要求</w:t>
      </w:r>
    </w:p>
    <w:p w14:paraId="3D1B36DD">
      <w:pPr>
        <w:pStyle w:val="12"/>
        <w:tabs>
          <w:tab w:val="left" w:pos="0"/>
        </w:tabs>
        <w:snapToGrid w:val="0"/>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单价合同，含税单价限价见采购需求表，各分项报价均不得超过对应限价要求，否则做无效报价。</w:t>
      </w:r>
    </w:p>
    <w:p w14:paraId="58149E24">
      <w:pPr>
        <w:pStyle w:val="4"/>
        <w:spacing w:after="78"/>
      </w:pPr>
      <w:r>
        <w:rPr>
          <w:rFonts w:hint="eastAsia"/>
        </w:rPr>
        <w:t>八、澄清及修改</w:t>
      </w:r>
    </w:p>
    <w:p w14:paraId="2A03AD76">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1、采购人如需对已发出的询价文件进行澄清或修改的，将</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发布更正公告，该澄清或修改内容为询价文件的组成部分。</w:t>
      </w:r>
    </w:p>
    <w:p w14:paraId="6A224E4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2、询价申请人认为需要对询价文件进行澄清的，可以邮件形式向采购人提出申请（截止时间</w:t>
      </w:r>
      <w:r>
        <w:rPr>
          <w:rFonts w:hint="eastAsia" w:ascii="Times New Roman" w:hAnsi="Times New Roman" w:eastAsia="仿宋"/>
          <w:bCs/>
          <w:sz w:val="32"/>
          <w:szCs w:val="32"/>
        </w:rPr>
        <w:t>2025</w:t>
      </w:r>
      <w:r>
        <w:rPr>
          <w:rFonts w:ascii="Times New Roman" w:hAnsi="Times New Roman" w:eastAsia="仿宋"/>
          <w:bCs/>
          <w:sz w:val="32"/>
          <w:szCs w:val="32"/>
        </w:rPr>
        <w:t>年</w:t>
      </w:r>
      <w:r>
        <w:rPr>
          <w:rFonts w:hint="eastAsia" w:ascii="Times New Roman" w:hAnsi="Times New Roman" w:eastAsia="仿宋"/>
          <w:bCs/>
          <w:sz w:val="32"/>
          <w:szCs w:val="32"/>
        </w:rPr>
        <w:t>8</w:t>
      </w:r>
      <w:r>
        <w:rPr>
          <w:rFonts w:ascii="Times New Roman" w:hAnsi="Times New Roman" w:eastAsia="仿宋"/>
          <w:bCs/>
          <w:sz w:val="32"/>
          <w:szCs w:val="32"/>
        </w:rPr>
        <w:t>月</w:t>
      </w:r>
      <w:r>
        <w:rPr>
          <w:rFonts w:hint="eastAsia" w:ascii="Times New Roman" w:hAnsi="Times New Roman" w:eastAsia="仿宋"/>
          <w:bCs/>
          <w:sz w:val="32"/>
          <w:szCs w:val="32"/>
        </w:rPr>
        <w:t>16</w:t>
      </w:r>
      <w:r>
        <w:rPr>
          <w:rFonts w:ascii="Times New Roman" w:hAnsi="Times New Roman" w:eastAsia="仿宋"/>
          <w:bCs/>
          <w:sz w:val="32"/>
          <w:szCs w:val="32"/>
        </w:rPr>
        <w:t>日</w:t>
      </w:r>
      <w:r>
        <w:rPr>
          <w:rFonts w:hint="eastAsia" w:ascii="Times New Roman" w:hAnsi="Times New Roman" w:eastAsia="仿宋"/>
          <w:bCs/>
          <w:sz w:val="32"/>
          <w:szCs w:val="32"/>
        </w:rPr>
        <w:t>18</w:t>
      </w:r>
      <w:r>
        <w:rPr>
          <w:rFonts w:hint="eastAsia" w:ascii="Times New Roman" w:hAnsi="Times New Roman" w:eastAsia="仿宋"/>
          <w:sz w:val="32"/>
          <w:szCs w:val="32"/>
        </w:rPr>
        <w:t>时），但采购人可决定是否采纳申请事项。</w:t>
      </w:r>
    </w:p>
    <w:p w14:paraId="4122AFE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3、询价申请人应于响应文件递交截止时间之前，自行查看</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查询本项目的更正公告，因未查阅公告造成的后果由申请人自行承担。</w:t>
      </w:r>
    </w:p>
    <w:p w14:paraId="6AC3C34E">
      <w:pPr>
        <w:pStyle w:val="4"/>
        <w:spacing w:after="78"/>
      </w:pPr>
      <w:r>
        <w:rPr>
          <w:rFonts w:hint="eastAsia"/>
        </w:rPr>
        <w:t>九、其他</w:t>
      </w:r>
    </w:p>
    <w:p w14:paraId="7328679E">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1、中选人应在结果公告期满后尽快与采购人签订采购合同。因中选人原因造成逾期未与采购人签订采购合同的，视为自动放弃。</w:t>
      </w:r>
    </w:p>
    <w:p w14:paraId="701C01E5">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2、中选人因不可抗力原因不能履行采购合同或放弃成交的，采购人可依序与其他中选候选人签订采购合同，也可以重新组织采购。</w:t>
      </w:r>
    </w:p>
    <w:p w14:paraId="7D81A4C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19C3AFD">
      <w:pPr>
        <w:pStyle w:val="4"/>
        <w:spacing w:after="78"/>
      </w:pPr>
      <w:r>
        <w:rPr>
          <w:rFonts w:hint="eastAsia"/>
        </w:rPr>
        <w:t>十、联系方式</w:t>
      </w:r>
    </w:p>
    <w:bookmarkEnd w:id="4"/>
    <w:p w14:paraId="118FF91E">
      <w:pPr>
        <w:spacing w:after="78" w:line="640" w:lineRule="exact"/>
        <w:ind w:firstLine="640" w:firstLineChars="200"/>
        <w:rPr>
          <w:rFonts w:ascii="Times New Roman" w:hAnsi="Times New Roman" w:eastAsia="仿宋"/>
          <w:color w:val="000000"/>
          <w:kern w:val="0"/>
          <w:sz w:val="32"/>
          <w:szCs w:val="32"/>
        </w:rPr>
      </w:pPr>
      <w:bookmarkStart w:id="5" w:name="_Hlk173242662"/>
      <w:r>
        <w:rPr>
          <w:rFonts w:hint="eastAsia" w:ascii="Times New Roman" w:hAnsi="Times New Roman" w:eastAsia="仿宋"/>
          <w:color w:val="000000"/>
          <w:kern w:val="0"/>
          <w:sz w:val="32"/>
          <w:szCs w:val="32"/>
        </w:rPr>
        <w:t>联系人：涂工</w:t>
      </w:r>
    </w:p>
    <w:p w14:paraId="5B54BB74">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  话：</w:t>
      </w:r>
      <w:bookmarkStart w:id="6" w:name="_Hlk173834295"/>
      <w:r>
        <w:rPr>
          <w:rFonts w:ascii="Times New Roman" w:hAnsi="Times New Roman" w:eastAsia="仿宋"/>
          <w:color w:val="000000"/>
          <w:kern w:val="0"/>
          <w:sz w:val="32"/>
          <w:szCs w:val="32"/>
        </w:rPr>
        <w:t>0755+29395688</w:t>
      </w:r>
      <w:r>
        <w:rPr>
          <w:rFonts w:hint="eastAsia" w:ascii="Times New Roman" w:hAnsi="Times New Roman" w:eastAsia="仿宋"/>
          <w:color w:val="000000"/>
          <w:kern w:val="0"/>
          <w:sz w:val="32"/>
          <w:szCs w:val="32"/>
        </w:rPr>
        <w:t>转</w:t>
      </w:r>
      <w:r>
        <w:rPr>
          <w:rFonts w:ascii="Times New Roman" w:hAnsi="Times New Roman" w:eastAsia="仿宋"/>
          <w:color w:val="000000"/>
          <w:kern w:val="0"/>
          <w:sz w:val="32"/>
          <w:szCs w:val="32"/>
        </w:rPr>
        <w:t>87</w:t>
      </w:r>
      <w:bookmarkEnd w:id="6"/>
      <w:r>
        <w:rPr>
          <w:rFonts w:hint="eastAsia" w:ascii="Times New Roman" w:hAnsi="Times New Roman" w:eastAsia="仿宋"/>
          <w:color w:val="000000"/>
          <w:kern w:val="0"/>
          <w:sz w:val="32"/>
          <w:szCs w:val="32"/>
        </w:rPr>
        <w:t>25</w:t>
      </w:r>
    </w:p>
    <w:p w14:paraId="5CA83CE3">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  箱：</w:t>
      </w:r>
      <w:r>
        <w:rPr>
          <w:rFonts w:ascii="Times New Roman" w:hAnsi="Times New Roman" w:eastAsia="仿宋"/>
          <w:color w:val="000000"/>
          <w:kern w:val="0"/>
          <w:sz w:val="32"/>
          <w:szCs w:val="32"/>
        </w:rPr>
        <w:t>sszxhjcaigou@163.com</w:t>
      </w:r>
    </w:p>
    <w:bookmarkEnd w:id="5"/>
    <w:p w14:paraId="3D34B1F2">
      <w:pPr>
        <w:pStyle w:val="10"/>
        <w:wordWrap w:val="0"/>
        <w:spacing w:line="640" w:lineRule="exact"/>
        <w:ind w:left="2176" w:leftChars="1036"/>
        <w:jc w:val="right"/>
        <w:rPr>
          <w:rFonts w:ascii="Times New Roman" w:hAnsi="Times New Roman" w:eastAsia="仿宋"/>
          <w:bCs/>
          <w:color w:val="000000"/>
          <w:sz w:val="32"/>
          <w:szCs w:val="32"/>
        </w:rPr>
      </w:pPr>
      <w:r>
        <w:rPr>
          <w:rFonts w:hint="eastAsia" w:ascii="Times New Roman" w:hAnsi="Times New Roman" w:eastAsia="仿宋" w:cs="宋体"/>
          <w:color w:val="000000"/>
          <w:kern w:val="0"/>
          <w:sz w:val="32"/>
          <w:szCs w:val="32"/>
        </w:rPr>
        <w:t xml:space="preserve">           </w:t>
      </w:r>
    </w:p>
    <w:p w14:paraId="299B76D1">
      <w:pPr>
        <w:pStyle w:val="10"/>
        <w:wordWrap w:val="0"/>
        <w:spacing w:line="640" w:lineRule="exact"/>
        <w:ind w:left="2176" w:leftChars="1036"/>
        <w:jc w:val="right"/>
        <w:rPr>
          <w:rFonts w:ascii="Times New Roman" w:hAnsi="Times New Roman" w:eastAsia="仿宋"/>
        </w:rPr>
      </w:pPr>
      <w:r>
        <w:rPr>
          <w:rFonts w:hint="eastAsia" w:ascii="Times New Roman" w:hAnsi="Times New Roman" w:eastAsia="仿宋"/>
          <w:bCs/>
          <w:color w:val="000000"/>
          <w:sz w:val="32"/>
          <w:szCs w:val="32"/>
        </w:rPr>
        <w:t>深圳市深水水务咨询有限公司</w:t>
      </w:r>
    </w:p>
    <w:p w14:paraId="4C2A0AF7">
      <w:pPr>
        <w:spacing w:after="78" w:line="640" w:lineRule="exact"/>
        <w:ind w:left="6079" w:leftChars="152" w:hanging="5760" w:hangingChars="1800"/>
        <w:jc w:val="left"/>
        <w:rPr>
          <w:rFonts w:ascii="Times New Roman" w:hAnsi="Times New Roman" w:eastAsia="仿宋"/>
          <w:color w:val="000000"/>
          <w:sz w:val="32"/>
          <w:szCs w:val="32"/>
        </w:rPr>
      </w:pPr>
      <w:r>
        <w:rPr>
          <w:rFonts w:hint="eastAsia" w:ascii="Times New Roman" w:hAnsi="Times New Roman" w:eastAsia="仿宋"/>
          <w:color w:val="000000"/>
          <w:kern w:val="0"/>
          <w:sz w:val="32"/>
          <w:szCs w:val="32"/>
        </w:rPr>
        <w:t xml:space="preserve">                              </w:t>
      </w:r>
      <w:bookmarkStart w:id="7" w:name="_Hlk173242679"/>
      <w:r>
        <w:rPr>
          <w:rFonts w:hint="eastAsia" w:ascii="Times New Roman" w:hAnsi="Times New Roman" w:eastAsia="仿宋"/>
          <w:bCs/>
          <w:color w:val="000000"/>
          <w:sz w:val="32"/>
          <w:szCs w:val="32"/>
        </w:rPr>
        <w:t>2025</w:t>
      </w:r>
      <w:r>
        <w:rPr>
          <w:rFonts w:ascii="Times New Roman" w:hAnsi="Times New Roman" w:eastAsia="仿宋"/>
          <w:bCs/>
          <w:color w:val="000000"/>
          <w:sz w:val="32"/>
          <w:szCs w:val="32"/>
        </w:rPr>
        <w:t>年</w:t>
      </w:r>
      <w:r>
        <w:rPr>
          <w:rFonts w:hint="eastAsia" w:ascii="Times New Roman" w:hAnsi="Times New Roman" w:eastAsia="仿宋"/>
          <w:bCs/>
          <w:color w:val="000000"/>
          <w:sz w:val="32"/>
          <w:szCs w:val="32"/>
        </w:rPr>
        <w:t>8</w:t>
      </w:r>
      <w:r>
        <w:rPr>
          <w:rFonts w:ascii="Times New Roman" w:hAnsi="Times New Roman" w:eastAsia="仿宋"/>
          <w:bCs/>
          <w:color w:val="000000"/>
          <w:sz w:val="32"/>
          <w:szCs w:val="32"/>
        </w:rPr>
        <w:t>月</w:t>
      </w:r>
      <w:r>
        <w:rPr>
          <w:rFonts w:hint="eastAsia" w:ascii="Times New Roman" w:hAnsi="Times New Roman" w:eastAsia="仿宋"/>
          <w:bCs/>
          <w:color w:val="000000"/>
          <w:sz w:val="32"/>
          <w:szCs w:val="32"/>
        </w:rPr>
        <w:t>13</w:t>
      </w:r>
      <w:r>
        <w:rPr>
          <w:rFonts w:ascii="Times New Roman" w:hAnsi="Times New Roman" w:eastAsia="仿宋"/>
          <w:bCs/>
          <w:color w:val="000000"/>
          <w:sz w:val="32"/>
          <w:szCs w:val="32"/>
        </w:rPr>
        <w:t>日</w:t>
      </w:r>
      <w:bookmarkEnd w:id="7"/>
    </w:p>
    <w:p w14:paraId="03F373CF">
      <w:pPr>
        <w:spacing w:before="312" w:beforeLines="100" w:after="312" w:afterLines="100" w:line="360" w:lineRule="auto"/>
        <w:jc w:val="center"/>
        <w:rPr>
          <w:rFonts w:ascii="Times New Roman" w:hAnsi="Times New Roman" w:eastAsia="仿宋"/>
        </w:rPr>
      </w:pPr>
      <w:r>
        <w:rPr>
          <w:rFonts w:hint="eastAsia" w:ascii="Times New Roman" w:hAnsi="Times New Roman" w:eastAsia="仿宋"/>
        </w:rPr>
        <w:br w:type="page"/>
      </w:r>
      <w:bookmarkStart w:id="8" w:name="OLE_LINK6"/>
      <w:bookmarkStart w:id="9" w:name="OLE_LINK5"/>
    </w:p>
    <w:p w14:paraId="2DAE8A0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1BF18FAD">
      <w:pPr>
        <w:spacing w:before="312" w:beforeLines="100" w:after="312" w:afterLines="100" w:line="360" w:lineRule="auto"/>
        <w:jc w:val="center"/>
        <w:rPr>
          <w:rFonts w:ascii="Times New Roman" w:hAnsi="Times New Roman" w:eastAsia="仿宋" w:cs="仿宋"/>
          <w:b/>
          <w:bCs/>
          <w:sz w:val="28"/>
          <w:szCs w:val="28"/>
        </w:rPr>
      </w:pPr>
    </w:p>
    <w:p w14:paraId="1D21999F">
      <w:pPr>
        <w:spacing w:before="312" w:beforeLines="100" w:after="312" w:afterLines="100" w:line="360" w:lineRule="auto"/>
        <w:jc w:val="center"/>
        <w:rPr>
          <w:rFonts w:ascii="Times New Roman" w:hAnsi="Times New Roman" w:eastAsia="仿宋"/>
          <w:b/>
          <w:bCs/>
          <w:sz w:val="28"/>
          <w:szCs w:val="28"/>
        </w:rPr>
      </w:pPr>
      <w:r>
        <w:rPr>
          <w:rFonts w:hint="eastAsia" w:ascii="Times New Roman" w:hAnsi="Times New Roman" w:eastAsia="仿宋" w:cs="仿宋"/>
          <w:b/>
          <w:bCs/>
          <w:sz w:val="28"/>
          <w:szCs w:val="28"/>
        </w:rPr>
        <w:t>废物（液）处理处置及工业服务合同</w:t>
      </w:r>
    </w:p>
    <w:bookmarkEnd w:id="8"/>
    <w:bookmarkEnd w:id="9"/>
    <w:p w14:paraId="2D0F1DF6">
      <w:pPr>
        <w:spacing w:after="78" w:line="360" w:lineRule="auto"/>
        <w:ind w:right="420"/>
        <w:rPr>
          <w:rFonts w:ascii="Times New Roman" w:hAnsi="Times New Roman" w:eastAsia="仿宋"/>
          <w:sz w:val="24"/>
        </w:rPr>
      </w:pPr>
      <w:r>
        <w:rPr>
          <w:rFonts w:hint="eastAsia" w:ascii="Times New Roman" w:hAnsi="Times New Roman" w:eastAsia="仿宋"/>
          <w:b/>
          <w:bCs/>
          <w:sz w:val="24"/>
        </w:rPr>
        <w:t xml:space="preserve">           </w:t>
      </w:r>
      <w:r>
        <w:rPr>
          <w:rFonts w:hint="eastAsia" w:ascii="Times New Roman" w:hAnsi="Times New Roman" w:eastAsia="仿宋"/>
          <w:b/>
          <w:iCs/>
          <w:sz w:val="24"/>
        </w:rPr>
        <w:t xml:space="preserve">                      </w:t>
      </w:r>
      <w:r>
        <w:rPr>
          <w:rFonts w:hint="eastAsia" w:ascii="Times New Roman" w:hAnsi="Times New Roman" w:eastAsia="仿宋"/>
          <w:sz w:val="24"/>
        </w:rPr>
        <w:t>签订时间：   年     月     日</w:t>
      </w:r>
    </w:p>
    <w:p w14:paraId="37FD3EDC">
      <w:pPr>
        <w:spacing w:after="78" w:line="360" w:lineRule="auto"/>
        <w:ind w:right="420"/>
        <w:rPr>
          <w:rFonts w:ascii="Times New Roman" w:hAnsi="Times New Roman" w:eastAsia="仿宋"/>
          <w:b/>
          <w:sz w:val="24"/>
        </w:rPr>
      </w:pPr>
      <w:r>
        <w:rPr>
          <w:rFonts w:hint="eastAsia" w:ascii="Times New Roman" w:hAnsi="Times New Roman" w:eastAsia="仿宋"/>
          <w:sz w:val="24"/>
        </w:rPr>
        <w:t xml:space="preserve">                                      合同编号：</w:t>
      </w:r>
    </w:p>
    <w:p w14:paraId="09614542">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甲方：【 】</w:t>
      </w:r>
    </w:p>
    <w:p w14:paraId="73AAA574">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地址：</w:t>
      </w:r>
      <w:r>
        <w:rPr>
          <w:rFonts w:hint="eastAsia" w:ascii="Times New Roman" w:hAnsi="Times New Roman" w:eastAsia="仿宋"/>
          <w:sz w:val="24"/>
        </w:rPr>
        <w:t>【 】</w:t>
      </w:r>
    </w:p>
    <w:p w14:paraId="749A40FC">
      <w:pPr>
        <w:adjustRightInd w:val="0"/>
        <w:snapToGrid w:val="0"/>
        <w:spacing w:after="78"/>
        <w:jc w:val="left"/>
        <w:rPr>
          <w:rFonts w:ascii="Times New Roman" w:hAnsi="Times New Roman" w:eastAsia="仿宋"/>
          <w:sz w:val="24"/>
        </w:rPr>
      </w:pPr>
      <w:r>
        <w:rPr>
          <w:rFonts w:hint="eastAsia" w:ascii="Times New Roman" w:hAnsi="Times New Roman" w:eastAsia="仿宋"/>
          <w:b/>
          <w:bCs/>
          <w:sz w:val="24"/>
        </w:rPr>
        <w:t>收货地址：</w:t>
      </w:r>
      <w:r>
        <w:rPr>
          <w:rFonts w:hint="eastAsia" w:ascii="Times New Roman" w:hAnsi="Times New Roman" w:eastAsia="仿宋"/>
          <w:bCs/>
          <w:sz w:val="24"/>
        </w:rPr>
        <w:t>【</w:t>
      </w:r>
      <w:r>
        <w:rPr>
          <w:rFonts w:hint="eastAsia" w:ascii="Times New Roman" w:hAnsi="Times New Roman" w:eastAsia="仿宋"/>
          <w:sz w:val="24"/>
        </w:rPr>
        <w:t xml:space="preserve"> 】</w:t>
      </w:r>
    </w:p>
    <w:p w14:paraId="5CBBE879">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统一社会信用代码：</w:t>
      </w:r>
    </w:p>
    <w:p w14:paraId="2FD25D93">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联系人：</w:t>
      </w:r>
    </w:p>
    <w:p w14:paraId="345C8E4B">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联系电话：</w:t>
      </w:r>
    </w:p>
    <w:p w14:paraId="5DCBAE6F">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电子邮箱：    /</w:t>
      </w:r>
    </w:p>
    <w:p w14:paraId="69EFB455">
      <w:pPr>
        <w:adjustRightInd w:val="0"/>
        <w:snapToGrid w:val="0"/>
        <w:spacing w:after="78"/>
        <w:rPr>
          <w:rFonts w:ascii="Times New Roman" w:hAnsi="Times New Roman" w:eastAsia="仿宋"/>
          <w:b/>
          <w:sz w:val="24"/>
        </w:rPr>
      </w:pPr>
    </w:p>
    <w:p w14:paraId="2BE6232E">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乙方：【                   】</w:t>
      </w:r>
    </w:p>
    <w:p w14:paraId="36E070AE">
      <w:pPr>
        <w:adjustRightInd w:val="0"/>
        <w:snapToGrid w:val="0"/>
        <w:spacing w:after="78"/>
        <w:rPr>
          <w:rFonts w:ascii="Times New Roman" w:hAnsi="Times New Roman" w:eastAsia="仿宋" w:cs="微软雅黑"/>
          <w:color w:val="000000"/>
          <w:szCs w:val="21"/>
        </w:rPr>
      </w:pPr>
      <w:r>
        <w:rPr>
          <w:rFonts w:hint="eastAsia" w:ascii="Times New Roman" w:hAnsi="Times New Roman" w:eastAsia="仿宋"/>
          <w:b/>
          <w:sz w:val="24"/>
        </w:rPr>
        <w:t>地址：</w:t>
      </w:r>
      <w:r>
        <w:rPr>
          <w:rFonts w:hint="eastAsia" w:ascii="Times New Roman" w:hAnsi="Times New Roman" w:eastAsia="仿宋"/>
          <w:sz w:val="24"/>
        </w:rPr>
        <w:t>【                   】</w:t>
      </w:r>
    </w:p>
    <w:p w14:paraId="5B4F9C4D">
      <w:pPr>
        <w:adjustRightInd w:val="0"/>
        <w:snapToGrid w:val="0"/>
        <w:spacing w:after="78"/>
        <w:rPr>
          <w:rFonts w:ascii="Times New Roman" w:hAnsi="Times New Roman" w:eastAsia="仿宋"/>
          <w:sz w:val="24"/>
        </w:rPr>
      </w:pPr>
      <w:r>
        <w:rPr>
          <w:rFonts w:hint="eastAsia" w:ascii="Times New Roman" w:hAnsi="Times New Roman" w:eastAsia="仿宋"/>
          <w:b/>
          <w:sz w:val="24"/>
        </w:rPr>
        <w:t>统一社会信用代码：</w:t>
      </w:r>
    </w:p>
    <w:p w14:paraId="182C0EB1">
      <w:pPr>
        <w:adjustRightInd w:val="0"/>
        <w:snapToGrid w:val="0"/>
        <w:spacing w:after="78"/>
        <w:rPr>
          <w:rFonts w:ascii="Times New Roman" w:hAnsi="Times New Roman" w:eastAsia="仿宋"/>
          <w:b/>
          <w:sz w:val="24"/>
        </w:rPr>
      </w:pPr>
      <w:r>
        <w:rPr>
          <w:rFonts w:hint="eastAsia" w:ascii="Times New Roman" w:hAnsi="Times New Roman" w:eastAsia="仿宋"/>
          <w:b/>
          <w:sz w:val="24"/>
        </w:rPr>
        <w:t>联系人：</w:t>
      </w:r>
    </w:p>
    <w:p w14:paraId="6D3C522C">
      <w:pPr>
        <w:adjustRightInd w:val="0"/>
        <w:snapToGrid w:val="0"/>
        <w:spacing w:after="78"/>
        <w:rPr>
          <w:rFonts w:ascii="Times New Roman" w:hAnsi="Times New Roman" w:eastAsia="仿宋"/>
          <w:b/>
          <w:sz w:val="24"/>
        </w:rPr>
      </w:pPr>
      <w:r>
        <w:rPr>
          <w:rFonts w:hint="eastAsia" w:ascii="Times New Roman" w:hAnsi="Times New Roman" w:eastAsia="仿宋"/>
          <w:b/>
          <w:sz w:val="24"/>
        </w:rPr>
        <w:t>联系电话：</w:t>
      </w:r>
    </w:p>
    <w:p w14:paraId="3E2952D4">
      <w:pPr>
        <w:adjustRightInd w:val="0"/>
        <w:snapToGrid w:val="0"/>
        <w:spacing w:after="78"/>
        <w:rPr>
          <w:rFonts w:ascii="Times New Roman" w:hAnsi="Times New Roman" w:eastAsia="仿宋"/>
          <w:b/>
          <w:sz w:val="24"/>
        </w:rPr>
      </w:pPr>
      <w:r>
        <w:rPr>
          <w:rFonts w:hint="eastAsia" w:ascii="Times New Roman" w:hAnsi="Times New Roman" w:eastAsia="仿宋"/>
          <w:b/>
          <w:sz w:val="24"/>
        </w:rPr>
        <w:t>电子邮箱：</w:t>
      </w:r>
    </w:p>
    <w:p w14:paraId="525B57C5">
      <w:pPr>
        <w:spacing w:after="78" w:line="360" w:lineRule="auto"/>
        <w:ind w:right="420" w:firstLine="480" w:firstLineChars="200"/>
        <w:rPr>
          <w:rFonts w:ascii="Times New Roman" w:hAnsi="Times New Roman" w:eastAsia="仿宋" w:cs="仿宋"/>
          <w:sz w:val="24"/>
        </w:rPr>
      </w:pPr>
      <w:r>
        <w:rPr>
          <w:rFonts w:hint="eastAsia" w:ascii="Times New Roman" w:hAnsi="Times New Roman" w:eastAsia="仿宋" w:cs="仿宋"/>
          <w:sz w:val="24"/>
        </w:rPr>
        <w:t>根据《中华人民共和国环境保护法》以及相关环境保护法律、法规规定，甲方在生产过程中形成的工业废物（液）</w:t>
      </w:r>
      <w:r>
        <w:rPr>
          <w:rFonts w:hint="eastAsia" w:ascii="Times New Roman" w:hAnsi="Times New Roman" w:eastAsia="仿宋" w:cs="仿宋"/>
          <w:b/>
          <w:bCs/>
          <w:sz w:val="24"/>
        </w:rPr>
        <w:t>【详见废物处理处置报价单】</w:t>
      </w:r>
      <w:r>
        <w:rPr>
          <w:rFonts w:hint="eastAsia" w:ascii="Times New Roman" w:hAnsi="Times New Roman" w:eastAsia="仿宋" w:cs="仿宋"/>
          <w:sz w:val="24"/>
        </w:rPr>
        <w:t>，不得随意排放、弃置或者转移，应当依法集中处理。乙方作为一家具有处理工业废物（液）资质的合法企业，甲方同意由乙方处理其全部工业废物（液），甲乙双方现就上述工业废物（液）处理处置事宜，根据《中华人民共和国民法典》及相关法律法规，经友好协商，自愿达成如下条款，以兹共同遵照执行：</w:t>
      </w:r>
    </w:p>
    <w:p w14:paraId="154308B8">
      <w:pPr>
        <w:pStyle w:val="4"/>
        <w:spacing w:after="78"/>
      </w:pPr>
      <w:r>
        <w:rPr>
          <w:rFonts w:hint="eastAsia"/>
        </w:rPr>
        <w:t>一、甲方合同义务</w:t>
      </w:r>
    </w:p>
    <w:p w14:paraId="47B240C0">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1、甲方应将本合同约定下生产过程中所形成的工业废物（液）连同包装物交予乙方处理。乙方向甲方提供</w:t>
      </w:r>
      <w:r>
        <w:rPr>
          <w:rFonts w:hint="eastAsia" w:ascii="Times New Roman" w:hAnsi="Times New Roman" w:eastAsia="仿宋" w:cs="仿宋"/>
          <w:b/>
          <w:bCs/>
          <w:sz w:val="24"/>
        </w:rPr>
        <w:t>预约式</w:t>
      </w:r>
      <w:r>
        <w:rPr>
          <w:rFonts w:hint="eastAsia" w:ascii="Times New Roman" w:hAnsi="Times New Roman" w:eastAsia="仿宋" w:cs="仿宋"/>
          <w:sz w:val="24"/>
        </w:rPr>
        <w:t>工业废物（液）处理处置服务，甲方应在每次有工业废物（液）处理需要前，提前【15】日通知乙方具体的收运时间、地点及收运工业废物（液）的具体数量和包装方式等，乙方应在收到甲方通知后【3】日内告知甲方是否可以提供相应的处理处置服务。</w:t>
      </w:r>
    </w:p>
    <w:p w14:paraId="1C6AF1A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甲方应将各类工业废物（液）分类存储，做好标记标识，不可混入其他杂物，以方便乙方处理及保障操作安全。对袋装、桶装的工业废物（液）应按照工业废物（液）包装、标识及贮存技术规范要求贴上标签。</w:t>
      </w:r>
    </w:p>
    <w:p w14:paraId="4DC5365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3、甲方应将待处理的工业废物（液）集中摆放，并为乙方上门收运提供必要的条件，包括进场道路、作业场地、装车所需的装载机械（叉车等），以便于乙方装运。</w:t>
      </w:r>
    </w:p>
    <w:p w14:paraId="21C3451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4、甲方提供给乙方的工业废物（液）不出现下列异常情况：</w:t>
      </w:r>
    </w:p>
    <w:p w14:paraId="5B3E126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1）标识不规范或者错误；包装破损或者密封不严；</w:t>
      </w:r>
    </w:p>
    <w:p w14:paraId="775559E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2）违反工业废物（液）运输包装的国家标准、地方标准、行业标准及通用技术条件的其他异常情况。</w:t>
      </w:r>
    </w:p>
    <w:p w14:paraId="2066D441">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5、甲方应按照本合同约定方式、时间，准时、足额向乙方支付费用。</w:t>
      </w:r>
    </w:p>
    <w:p w14:paraId="23E9734B">
      <w:pPr>
        <w:pStyle w:val="4"/>
        <w:spacing w:after="78"/>
      </w:pPr>
      <w:r>
        <w:rPr>
          <w:rFonts w:hint="eastAsia"/>
        </w:rPr>
        <w:t>二、乙方合同义务</w:t>
      </w:r>
    </w:p>
    <w:p w14:paraId="4DF8C821">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1、在合同有效期内，乙方应具备处理工业废物（液）所需的资质、条件和设施，并保证所持有许可证、营业执照等相关证件合法有效。</w:t>
      </w:r>
    </w:p>
    <w:p w14:paraId="5C22898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自备运输车辆和装卸人员，按双方商议的计划到甲方收取工业废物（液）。乙方在接到甲方收运通知后，若无法接受甲方预约按计划处理工业废物（液）的，应及时告知甲方，甲方有权选择其他替代方法处理工业废物（液）。</w:t>
      </w:r>
    </w:p>
    <w:p w14:paraId="3403F8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3、乙方收运车辆以及司机与装卸员工，应当在甲方厂区内文明作业，作业完毕后将其作业范围清理干净，并遵守甲方的相关环境以及安全管理规定。</w:t>
      </w:r>
    </w:p>
    <w:p w14:paraId="1754F69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4、乙方接收待处理危险废物时，必须认真填写《危险废物转移联单》的各项内容，该联单作为合同双方核对危险废物种类、数量以及收费的凭证，及时根据要求报送至环保监管部门存档。</w:t>
      </w:r>
    </w:p>
    <w:p w14:paraId="3185F98B">
      <w:pPr>
        <w:pStyle w:val="4"/>
        <w:spacing w:after="78"/>
      </w:pPr>
      <w:r>
        <w:rPr>
          <w:rFonts w:hint="eastAsia"/>
        </w:rPr>
        <w:t xml:space="preserve">三、工业废物（液）的计重  </w:t>
      </w:r>
    </w:p>
    <w:p w14:paraId="7BC323C8">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工业废物（液）的计重应按下列方式【1】进行：</w:t>
      </w:r>
    </w:p>
    <w:p w14:paraId="0840AB2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1、在甲方厂区内或者附近过磅称重，由甲方提供计重工具或在甲方人员陪同下使用乙方提供的计重工具进行计重；</w:t>
      </w:r>
    </w:p>
    <w:p w14:paraId="33F244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2、用乙方地磅免费称重；</w:t>
      </w:r>
    </w:p>
    <w:p w14:paraId="7043FD7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3、若工业废物（液）不宜采用地磅称重，则按照</w:t>
      </w:r>
      <w:r>
        <w:rPr>
          <w:rFonts w:hint="eastAsia" w:ascii="Times New Roman" w:hAnsi="Times New Roman" w:eastAsia="仿宋" w:cs="仿宋"/>
          <w:sz w:val="24"/>
          <w:u w:val="single"/>
        </w:rPr>
        <w:t xml:space="preserve">    估重   </w:t>
      </w:r>
      <w:r>
        <w:rPr>
          <w:rFonts w:hint="eastAsia" w:ascii="Times New Roman" w:hAnsi="Times New Roman" w:eastAsia="仿宋" w:cs="仿宋"/>
          <w:sz w:val="24"/>
        </w:rPr>
        <w:t>方式计重。</w:t>
      </w:r>
    </w:p>
    <w:p w14:paraId="7B60CE1F">
      <w:pPr>
        <w:pStyle w:val="4"/>
        <w:spacing w:after="78"/>
      </w:pPr>
      <w:r>
        <w:rPr>
          <w:rFonts w:hint="eastAsia"/>
        </w:rPr>
        <w:t>四、工业废物（液）种类、数量以及收费凭证及转接责任</w:t>
      </w:r>
    </w:p>
    <w:p w14:paraId="4BD0652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1、甲、乙双方交接待处理工业废物（液）时，必须认真填写《危险废物转移联单》的各项内容，该联单作为合同双方核对工业废物（液）种类、数量以及收费的凭证。</w:t>
      </w:r>
    </w:p>
    <w:p w14:paraId="14C4BC85">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若发生意外或者事故，甲方将待处理工业废物（液）交乙方签收且离开甲方厂区之前，责任由甲方自行承担；甲方将待处理工业废物（液）交乙方签收且离开甲方厂区之后，责任由乙方自行承担，但法律法规另有规定或本合同另有约定的除外。</w:t>
      </w:r>
    </w:p>
    <w:p w14:paraId="5A80F4C2">
      <w:pPr>
        <w:pStyle w:val="4"/>
        <w:spacing w:after="78"/>
      </w:pPr>
      <w:r>
        <w:rPr>
          <w:rFonts w:hint="eastAsia"/>
        </w:rPr>
        <w:t xml:space="preserve">五、费用结算和价格更新 </w:t>
      </w:r>
    </w:p>
    <w:p w14:paraId="203AAA65">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1、费用结算：</w:t>
      </w:r>
    </w:p>
    <w:p w14:paraId="05A7981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根据本合同附件《工业废物（液）处理处置报价单》中约定的方式进行结算。</w:t>
      </w:r>
    </w:p>
    <w:p w14:paraId="09829B6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 xml:space="preserve">2、结算账户： </w:t>
      </w:r>
    </w:p>
    <w:p w14:paraId="72915B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1）乙方收款单位名称：【                         】</w:t>
      </w:r>
    </w:p>
    <w:p w14:paraId="4D797C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2）乙方收款开户银行名称：【                              】</w:t>
      </w:r>
    </w:p>
    <w:p w14:paraId="489FFF8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3）乙方收款银行账号：【                     】</w:t>
      </w:r>
    </w:p>
    <w:p w14:paraId="3D1A05C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甲方将合同款项付至上述指定结算账户进行支付后方可确定甲方履行了本合同付款义务，否则视为甲方未履行付款义务，甲方应承担由此造成的一切损失。</w:t>
      </w:r>
    </w:p>
    <w:p w14:paraId="2A5C7E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3、价格更新</w:t>
      </w:r>
    </w:p>
    <w:p w14:paraId="3961913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本合同附件《工业废物（液）处理处置报价单》中列明的收费标准应根据市场行情及时更新。在合同有效期内，若价格浮动超过5%，乙方有权要求对收费标准进行调整，经双方协商后，应重新签订补充协议确定调整后的收费标准。</w:t>
      </w:r>
    </w:p>
    <w:p w14:paraId="6F0CB109">
      <w:pPr>
        <w:pStyle w:val="4"/>
        <w:spacing w:after="78"/>
      </w:pPr>
      <w:r>
        <w:rPr>
          <w:rFonts w:hint="eastAsia"/>
        </w:rPr>
        <w:t>六、不可抗力</w:t>
      </w:r>
    </w:p>
    <w:p w14:paraId="54F0A01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在合同有效期内，因发生不可抗力事件（是指合同订立时不能预见、不能避免并不能克服的客观情况，包括自然灾害、如台风、地震、洪水、冰雹；政府行为，如征收、征用；社会异常事件，如罢工、骚乱、疫情等方面）导致本合同不能履行时，受到不可抗力影响的一方应在不可抗力事件发生之后三日内，向对方书面通知不能履行或者需要延期履行、部分履行的理由，并</w:t>
      </w:r>
      <w:bookmarkStart w:id="10" w:name="_Hlk6318873"/>
      <w:r>
        <w:rPr>
          <w:rFonts w:hint="eastAsia" w:ascii="Times New Roman" w:hAnsi="Times New Roman" w:eastAsia="仿宋" w:cs="仿宋"/>
          <w:sz w:val="24"/>
        </w:rPr>
        <w:t>提供有关证明</w:t>
      </w:r>
      <w:bookmarkEnd w:id="10"/>
      <w:r>
        <w:rPr>
          <w:rFonts w:hint="eastAsia" w:ascii="Times New Roman" w:hAnsi="Times New Roman" w:eastAsia="仿宋" w:cs="仿宋"/>
          <w:sz w:val="24"/>
        </w:rPr>
        <w:t>。在取得相关证明之后，主张受到不可抗力影响的一方可以不履行或者延期履行、部分履行本合同，并免予承担违约责任。</w:t>
      </w:r>
    </w:p>
    <w:p w14:paraId="2E3AECC6">
      <w:pPr>
        <w:pStyle w:val="4"/>
        <w:spacing w:after="78"/>
      </w:pPr>
      <w:r>
        <w:rPr>
          <w:rFonts w:hint="eastAsia"/>
        </w:rPr>
        <w:t>七、法律适用及争议解决</w:t>
      </w:r>
    </w:p>
    <w:p w14:paraId="259A2DEA">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1、</w:t>
      </w:r>
      <w:r>
        <w:rPr>
          <w:rFonts w:hint="eastAsia" w:ascii="Times New Roman" w:hAnsi="Times New Roman" w:eastAsia="仿宋" w:cs="仿宋"/>
          <w:color w:val="000000"/>
          <w:kern w:val="0"/>
          <w:sz w:val="24"/>
        </w:rPr>
        <w:t>本合同的订立、效力、解释、履行和争议的解决均适用中华人民共和国大陆地区法律。</w:t>
      </w:r>
    </w:p>
    <w:p w14:paraId="26E03683">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2、就本合同履行发生的任何争议，甲、乙双方先应友好协商解决；协商不成时，任何一方可向有管辖权的人民法院起诉，争议败诉方承担与争议有关的诉讼费、调查费、公证费、律师费及守约方实现债权的其它费用等,除非人民法院另有判决。</w:t>
      </w:r>
    </w:p>
    <w:p w14:paraId="02980487">
      <w:pPr>
        <w:pStyle w:val="4"/>
        <w:spacing w:after="78"/>
      </w:pPr>
      <w:r>
        <w:rPr>
          <w:rFonts w:hint="eastAsia"/>
        </w:rPr>
        <w:t>八、保密条款</w:t>
      </w:r>
    </w:p>
    <w:p w14:paraId="1CF266B8">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合同双方在工业废物（液）处理过程中所知悉的技术秘密以及商业秘密有义务进行保密，非因法律法规另有规定、监管部门另有要求或履行本合同项需要，任何一方不得向任何第三方泄漏。如有违反，违约方应承担相应的违约责任。</w:t>
      </w:r>
    </w:p>
    <w:p w14:paraId="1A5B52C0">
      <w:pPr>
        <w:pStyle w:val="4"/>
        <w:spacing w:after="78"/>
      </w:pPr>
      <w:r>
        <w:rPr>
          <w:rFonts w:hint="eastAsia"/>
        </w:rPr>
        <w:t>九、违约责任</w:t>
      </w:r>
    </w:p>
    <w:p w14:paraId="3C82592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合同任一方违反本合同的规定，守约方有权要求违约方停止并纠正违约行为，经守约方提出纠正后在10日内仍未予以改正的，守约方有权单方解除本合同，造成守约方经济以及其他方面损失的，违约方应予以全面、足额、及时、有效的赔偿。</w:t>
      </w:r>
    </w:p>
    <w:p w14:paraId="6FA413D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2、合同任一方无正当理由撤销或者解除合同，造成合同对方损失的，违约方应赔偿守约方由此造成的所有损失。</w:t>
      </w:r>
    </w:p>
    <w:p w14:paraId="049A596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3、如乙方无法按计划收运且不及时告知甲方，甲方有权另行委派处置单位进行处置，乙方应按应付本合同总金额的20%向甲方支付违约金，如因危废处置延期造成的经济损失由乙方负责。</w:t>
      </w:r>
    </w:p>
    <w:p w14:paraId="3063A74B">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4、乙方在货物运输、装卸等各个环节中产生的安全事故、环境责任事故等一切意外事故，包括不可抗拒力因素造成的事故，造成的后果概由乙方负责。</w:t>
      </w:r>
    </w:p>
    <w:p w14:paraId="7A15C5E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5、乙方在无法律依据或合同依据的情况下单方解除本合同，应当按照合同金额的30%向甲方支付违约金，并赔偿因此给甲方造成的损失。</w:t>
      </w:r>
    </w:p>
    <w:p w14:paraId="3056311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6、一方因追究违约方法律责任而支付的案件受理费、保全费、执行费、公告费、律师费、保全担保费/保险费、公证费等合理费用，由违约方承担。</w:t>
      </w:r>
    </w:p>
    <w:p w14:paraId="75A546A5">
      <w:pPr>
        <w:pStyle w:val="4"/>
        <w:spacing w:after="78"/>
      </w:pPr>
      <w:r>
        <w:rPr>
          <w:rFonts w:hint="eastAsia"/>
        </w:rPr>
        <w:t>十、合同其他事宜</w:t>
      </w:r>
    </w:p>
    <w:p w14:paraId="609410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1、本合同有效期从【    】年【    】月【   】日起至【    】年【    】月【   】日止。</w:t>
      </w:r>
    </w:p>
    <w:p w14:paraId="2B3FEE5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w:t>
      </w:r>
      <w:bookmarkStart w:id="11" w:name="_Hlk6318910"/>
      <w:r>
        <w:rPr>
          <w:rFonts w:hint="eastAsia" w:ascii="Times New Roman" w:hAnsi="Times New Roman" w:eastAsia="仿宋" w:cs="仿宋"/>
          <w:sz w:val="24"/>
        </w:rPr>
        <w:t>本合同未尽事宜，由双方协商解决或另行签订书面补充协议，补充协议与本合同具有同等法律效力，补充协议与本合同约定不一致的，以补充协议的约定为准。</w:t>
      </w:r>
      <w:bookmarkEnd w:id="11"/>
    </w:p>
    <w:p w14:paraId="4EA86FC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3、甲、乙双方就本合同发生纠纷时（包括纠纷进入诉讼或仲裁程序后的各阶段）相关文件或法律文书的送达地址和法律后果作如下约定：</w:t>
      </w:r>
    </w:p>
    <w:p w14:paraId="2ED5FBA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甲方确认其有效的送达地址为【深圳市罗湖区清水河街道清水河社区清水河一路112号罗湖投资控股大厦裙楼401】，收件人为【   】，联系电话为【       】；</w:t>
      </w:r>
    </w:p>
    <w:p w14:paraId="6223993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乙方确认其有效的送达地址为【                                】，收件人为【      】，联系电话为【                】。</w:t>
      </w:r>
    </w:p>
    <w:p w14:paraId="0AB8EC1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346929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4、本合同一式肆份，甲方持贰份，乙方持贰份。</w:t>
      </w:r>
    </w:p>
    <w:p w14:paraId="757268F8">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5、本合同经甲、乙双方加盖各自公章或业务专用章之日起正式生效。</w:t>
      </w:r>
    </w:p>
    <w:p w14:paraId="4131E24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本合同附件《工业废物（液）处理处置服务报价单》、《供应商廉洁协议书》、《安全生产协议书》，为本合同有效组成部分，与本合同具同等法律效力。本合同附件与本合同约定不一致的，以附件约定为准。</w:t>
      </w:r>
    </w:p>
    <w:p w14:paraId="31C1FB08">
      <w:pPr>
        <w:spacing w:after="78" w:line="360" w:lineRule="auto"/>
        <w:ind w:firstLine="480" w:firstLineChars="200"/>
        <w:rPr>
          <w:rFonts w:ascii="Times New Roman" w:hAnsi="Times New Roman" w:eastAsia="仿宋" w:cs="仿宋"/>
          <w:sz w:val="24"/>
        </w:rPr>
      </w:pPr>
    </w:p>
    <w:p w14:paraId="79C841D0">
      <w:pPr>
        <w:spacing w:after="78" w:line="360" w:lineRule="auto"/>
        <w:ind w:right="420"/>
        <w:rPr>
          <w:rFonts w:ascii="Times New Roman" w:hAnsi="Times New Roman" w:eastAsia="仿宋" w:cs="仿宋"/>
          <w:b/>
          <w:sz w:val="24"/>
        </w:rPr>
      </w:pPr>
      <w:r>
        <w:rPr>
          <w:rFonts w:hint="eastAsia" w:ascii="Times New Roman" w:hAnsi="Times New Roman" w:eastAsia="仿宋" w:cs="仿宋"/>
          <w:b/>
          <w:sz w:val="24"/>
        </w:rPr>
        <w:t>【以下无正文】</w:t>
      </w:r>
    </w:p>
    <w:tbl>
      <w:tblPr>
        <w:tblStyle w:val="22"/>
        <w:tblpPr w:leftFromText="180" w:rightFromText="180" w:vertAnchor="text" w:horzAnchor="margin" w:tblpXSpec="center" w:tblpY="254"/>
        <w:tblW w:w="9095" w:type="dxa"/>
        <w:tblInd w:w="0" w:type="dxa"/>
        <w:tblLayout w:type="fixed"/>
        <w:tblCellMar>
          <w:top w:w="0" w:type="dxa"/>
          <w:left w:w="108" w:type="dxa"/>
          <w:bottom w:w="0" w:type="dxa"/>
          <w:right w:w="108" w:type="dxa"/>
        </w:tblCellMar>
      </w:tblPr>
      <w:tblGrid>
        <w:gridCol w:w="4604"/>
        <w:gridCol w:w="4491"/>
      </w:tblGrid>
      <w:tr w14:paraId="5C8F4135">
        <w:tblPrEx>
          <w:tblCellMar>
            <w:top w:w="0" w:type="dxa"/>
            <w:left w:w="108" w:type="dxa"/>
            <w:bottom w:w="0" w:type="dxa"/>
            <w:right w:w="108" w:type="dxa"/>
          </w:tblCellMar>
        </w:tblPrEx>
        <w:trPr>
          <w:trHeight w:val="4385" w:hRule="atLeast"/>
        </w:trPr>
        <w:tc>
          <w:tcPr>
            <w:tcW w:w="4604" w:type="dxa"/>
          </w:tcPr>
          <w:p w14:paraId="1291B596">
            <w:pPr>
              <w:spacing w:after="78" w:line="360" w:lineRule="auto"/>
              <w:ind w:left="1440" w:hanging="1440" w:hangingChars="600"/>
              <w:rPr>
                <w:rFonts w:ascii="Times New Roman" w:hAnsi="Times New Roman" w:eastAsia="仿宋"/>
                <w:sz w:val="24"/>
              </w:rPr>
            </w:pPr>
            <w:r>
              <w:rPr>
                <w:rFonts w:hint="eastAsia" w:ascii="Times New Roman" w:hAnsi="Times New Roman" w:eastAsia="仿宋" w:cs="宋体"/>
                <w:sz w:val="24"/>
              </w:rPr>
              <w:t>甲方（盖章）：</w:t>
            </w:r>
          </w:p>
          <w:p w14:paraId="7AEFFA0E">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6358DEA0">
            <w:pPr>
              <w:spacing w:after="78" w:line="360" w:lineRule="auto"/>
              <w:rPr>
                <w:rFonts w:ascii="Times New Roman" w:hAnsi="Times New Roman" w:eastAsia="仿宋" w:cs="宋体"/>
                <w:sz w:val="24"/>
              </w:rPr>
            </w:pPr>
            <w:r>
              <w:rPr>
                <w:rFonts w:hint="eastAsia" w:ascii="Times New Roman" w:hAnsi="Times New Roman" w:eastAsia="仿宋" w:cs="宋体"/>
                <w:sz w:val="24"/>
              </w:rPr>
              <w:t>业务联系人：</w:t>
            </w:r>
          </w:p>
          <w:p w14:paraId="63617D8F">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2E1AC432">
            <w:pPr>
              <w:spacing w:after="78" w:line="360" w:lineRule="auto"/>
              <w:rPr>
                <w:rFonts w:ascii="Times New Roman" w:hAnsi="Times New Roman" w:eastAsia="仿宋" w:cs="仿宋"/>
                <w:sz w:val="24"/>
              </w:rPr>
            </w:pPr>
            <w:r>
              <w:rPr>
                <w:rFonts w:hint="eastAsia" w:ascii="Times New Roman" w:hAnsi="Times New Roman" w:eastAsia="仿宋" w:cs="宋体"/>
                <w:sz w:val="24"/>
              </w:rPr>
              <w:t>电话：</w:t>
            </w:r>
          </w:p>
          <w:p w14:paraId="53E5858F">
            <w:pPr>
              <w:spacing w:after="78" w:line="360" w:lineRule="auto"/>
              <w:rPr>
                <w:rFonts w:ascii="Times New Roman" w:hAnsi="Times New Roman" w:eastAsia="仿宋" w:cs="宋体"/>
                <w:sz w:val="24"/>
              </w:rPr>
            </w:pPr>
            <w:r>
              <w:rPr>
                <w:rFonts w:hint="eastAsia" w:ascii="Times New Roman" w:hAnsi="Times New Roman" w:eastAsia="仿宋" w:cs="宋体"/>
                <w:sz w:val="24"/>
              </w:rPr>
              <w:t xml:space="preserve">传真：       </w:t>
            </w:r>
            <w:r>
              <w:rPr>
                <w:rFonts w:ascii="Times New Roman" w:hAnsi="Times New Roman" w:eastAsia="仿宋" w:cs="宋体"/>
                <w:sz w:val="24"/>
              </w:rPr>
              <w:t>/</w:t>
            </w:r>
          </w:p>
          <w:p w14:paraId="27419F29">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    /</w:t>
            </w:r>
          </w:p>
          <w:p w14:paraId="1B83A411">
            <w:pPr>
              <w:spacing w:after="78" w:line="360" w:lineRule="auto"/>
              <w:rPr>
                <w:rFonts w:ascii="Times New Roman" w:hAnsi="Times New Roman" w:eastAsia="仿宋"/>
                <w:sz w:val="24"/>
              </w:rPr>
            </w:pPr>
            <w:r>
              <w:rPr>
                <w:rFonts w:hint="eastAsia" w:ascii="Times New Roman" w:hAnsi="Times New Roman" w:eastAsia="仿宋" w:cs="宋体"/>
                <w:sz w:val="24"/>
              </w:rPr>
              <w:t>账号：         /</w:t>
            </w:r>
          </w:p>
        </w:tc>
        <w:tc>
          <w:tcPr>
            <w:tcW w:w="4491" w:type="dxa"/>
          </w:tcPr>
          <w:p w14:paraId="2439CE2F">
            <w:pPr>
              <w:spacing w:after="78" w:line="360" w:lineRule="auto"/>
              <w:rPr>
                <w:rFonts w:ascii="Times New Roman" w:hAnsi="Times New Roman" w:eastAsia="仿宋" w:cs="宋体"/>
                <w:sz w:val="24"/>
              </w:rPr>
            </w:pPr>
            <w:r>
              <w:rPr>
                <w:rFonts w:hint="eastAsia" w:ascii="Times New Roman" w:hAnsi="Times New Roman" w:eastAsia="仿宋" w:cs="宋体"/>
                <w:sz w:val="24"/>
              </w:rPr>
              <w:t>乙方（盖章）：</w:t>
            </w:r>
          </w:p>
          <w:p w14:paraId="58A7A8C8">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3302D3FA">
            <w:pPr>
              <w:spacing w:after="78" w:line="360" w:lineRule="auto"/>
              <w:ind w:right="420"/>
              <w:rPr>
                <w:rFonts w:ascii="Times New Roman" w:hAnsi="Times New Roman" w:eastAsia="仿宋" w:cs="宋体"/>
                <w:sz w:val="24"/>
              </w:rPr>
            </w:pPr>
            <w:r>
              <w:rPr>
                <w:rFonts w:hint="eastAsia" w:ascii="Times New Roman" w:hAnsi="Times New Roman" w:eastAsia="仿宋" w:cs="宋体"/>
                <w:sz w:val="24"/>
              </w:rPr>
              <w:t>业务联系人:</w:t>
            </w:r>
          </w:p>
          <w:p w14:paraId="0E8AF710">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0434E11B">
            <w:pPr>
              <w:spacing w:after="78" w:line="360" w:lineRule="auto"/>
              <w:rPr>
                <w:rFonts w:ascii="Times New Roman" w:hAnsi="Times New Roman" w:eastAsia="仿宋" w:cs="宋体"/>
                <w:sz w:val="24"/>
              </w:rPr>
            </w:pPr>
            <w:r>
              <w:rPr>
                <w:rFonts w:hint="eastAsia" w:ascii="Times New Roman" w:hAnsi="Times New Roman" w:eastAsia="仿宋" w:cs="宋体"/>
                <w:sz w:val="24"/>
              </w:rPr>
              <w:t>电话：</w:t>
            </w:r>
          </w:p>
          <w:p w14:paraId="7BAC7670">
            <w:pPr>
              <w:spacing w:after="78" w:line="360" w:lineRule="auto"/>
              <w:rPr>
                <w:rFonts w:ascii="Times New Roman" w:hAnsi="Times New Roman" w:eastAsia="仿宋" w:cs="宋体"/>
                <w:sz w:val="24"/>
              </w:rPr>
            </w:pPr>
            <w:r>
              <w:rPr>
                <w:rFonts w:hint="eastAsia" w:ascii="Times New Roman" w:hAnsi="Times New Roman" w:eastAsia="仿宋" w:cs="宋体"/>
                <w:sz w:val="24"/>
              </w:rPr>
              <w:t>传真：</w:t>
            </w:r>
          </w:p>
          <w:p w14:paraId="22489848">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w:t>
            </w:r>
          </w:p>
          <w:p w14:paraId="5606C3B8">
            <w:pPr>
              <w:spacing w:after="78" w:line="360" w:lineRule="auto"/>
              <w:rPr>
                <w:rFonts w:ascii="Times New Roman" w:hAnsi="Times New Roman" w:eastAsia="仿宋"/>
                <w:sz w:val="24"/>
              </w:rPr>
            </w:pPr>
            <w:r>
              <w:rPr>
                <w:rFonts w:hint="eastAsia" w:ascii="Times New Roman" w:hAnsi="Times New Roman" w:eastAsia="仿宋" w:cs="宋体"/>
                <w:sz w:val="24"/>
              </w:rPr>
              <w:t>账号：</w:t>
            </w:r>
          </w:p>
        </w:tc>
      </w:tr>
    </w:tbl>
    <w:p w14:paraId="7EC58683">
      <w:pPr>
        <w:spacing w:after="78" w:line="320" w:lineRule="atLeast"/>
        <w:jc w:val="center"/>
        <w:rPr>
          <w:rFonts w:ascii="Times New Roman" w:hAnsi="Times New Roman" w:eastAsia="仿宋"/>
        </w:rPr>
      </w:pPr>
      <w:r>
        <w:rPr>
          <w:rFonts w:ascii="Times New Roman" w:hAnsi="Times New Roman" w:eastAsia="仿宋"/>
        </w:rPr>
        <w:br w:type="page"/>
      </w:r>
    </w:p>
    <w:p w14:paraId="7AC63DE2">
      <w:pPr>
        <w:pStyle w:val="4"/>
        <w:spacing w:after="78"/>
        <w:rPr>
          <w:rFonts w:ascii="Times New Roman" w:hAnsi="Times New Roman" w:eastAsia="仿宋" w:cs="仿宋"/>
          <w:sz w:val="24"/>
        </w:rPr>
      </w:pPr>
      <w:r>
        <w:rPr>
          <w:rFonts w:hint="eastAsia" w:ascii="Times New Roman" w:hAnsi="Times New Roman" w:eastAsia="仿宋" w:cs="仿宋"/>
          <w:sz w:val="24"/>
        </w:rPr>
        <w:t>附件一</w:t>
      </w:r>
      <w:r>
        <w:rPr>
          <w:rFonts w:hint="eastAsia"/>
        </w:rPr>
        <w:t xml:space="preserve"> 供应商廉洁协议书</w:t>
      </w:r>
    </w:p>
    <w:p w14:paraId="2240EF54">
      <w:pPr>
        <w:spacing w:after="78"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02A3678">
      <w:pPr>
        <w:spacing w:after="78"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5E7861F9">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一、</w:t>
      </w:r>
      <w:r>
        <w:rPr>
          <w:rFonts w:hint="eastAsia" w:ascii="宋体" w:hAnsi="宋体"/>
          <w:sz w:val="24"/>
        </w:rPr>
        <w:t>严禁甲方人员有以下行为：</w:t>
      </w:r>
    </w:p>
    <w:p w14:paraId="4B537921">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5C5AC180">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20BE3587">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二、</w:t>
      </w:r>
      <w:r>
        <w:rPr>
          <w:rFonts w:hint="eastAsia" w:ascii="宋体" w:hAnsi="宋体"/>
          <w:sz w:val="24"/>
        </w:rPr>
        <w:t>乙方不可以有以下行为：</w:t>
      </w:r>
    </w:p>
    <w:p w14:paraId="3C183058">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07037192">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2A289A19">
      <w:pPr>
        <w:spacing w:after="78"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72AC836D">
      <w:pPr>
        <w:spacing w:after="78"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合同已发生金额的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5F3ADE56">
      <w:pPr>
        <w:spacing w:after="78"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70707F40">
      <w:pPr>
        <w:spacing w:after="78" w:line="360" w:lineRule="auto"/>
        <w:ind w:left="561" w:leftChars="267" w:firstLine="480" w:firstLineChars="200"/>
        <w:rPr>
          <w:rFonts w:hint="eastAsia" w:ascii="宋体" w:hAnsi="宋体"/>
          <w:sz w:val="24"/>
        </w:rPr>
      </w:pPr>
    </w:p>
    <w:p w14:paraId="26CEBDAD">
      <w:pPr>
        <w:spacing w:after="78" w:line="360" w:lineRule="auto"/>
        <w:ind w:left="561" w:leftChars="267" w:firstLine="480" w:firstLineChars="200"/>
        <w:rPr>
          <w:rFonts w:hint="eastAsia" w:ascii="宋体" w:hAnsi="宋体"/>
          <w:sz w:val="24"/>
        </w:rPr>
      </w:pPr>
    </w:p>
    <w:p w14:paraId="644F6066">
      <w:pPr>
        <w:spacing w:after="78" w:line="360" w:lineRule="auto"/>
        <w:ind w:left="561" w:leftChars="267"/>
        <w:rPr>
          <w:rFonts w:hint="eastAsia"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乙方：</w:t>
      </w:r>
    </w:p>
    <w:p w14:paraId="54321EFE">
      <w:pPr>
        <w:adjustRightInd w:val="0"/>
        <w:snapToGrid w:val="0"/>
        <w:spacing w:after="78" w:line="360" w:lineRule="auto"/>
        <w:jc w:val="left"/>
        <w:rPr>
          <w:rFonts w:ascii="Times New Roman" w:hAnsi="Times New Roman" w:eastAsia="仿宋"/>
        </w:rPr>
      </w:pPr>
      <w:r>
        <w:rPr>
          <w:rFonts w:hint="eastAsia" w:ascii="宋体" w:hAnsi="宋体"/>
          <w:sz w:val="24"/>
        </w:rPr>
        <w:t>年</w:t>
      </w:r>
      <w:r>
        <w:rPr>
          <w:rFonts w:ascii="宋体" w:hAnsi="宋体"/>
          <w:sz w:val="24"/>
        </w:rPr>
        <w:t xml:space="preserve">  月   日                                年     月   日</w:t>
      </w:r>
      <w:r>
        <w:rPr>
          <w:rFonts w:ascii="Times New Roman" w:hAnsi="Times New Roman" w:eastAsia="仿宋"/>
        </w:rPr>
        <w:br w:type="page"/>
      </w:r>
    </w:p>
    <w:p w14:paraId="21DBCC5E">
      <w:pPr>
        <w:pStyle w:val="4"/>
        <w:spacing w:after="78"/>
        <w:rPr>
          <w:rFonts w:ascii="Times New Roman" w:hAnsi="Times New Roman" w:eastAsia="仿宋" w:cs="仿宋"/>
          <w:sz w:val="24"/>
        </w:rPr>
      </w:pPr>
      <w:r>
        <w:rPr>
          <w:rFonts w:hint="eastAsia" w:ascii="Times New Roman" w:hAnsi="Times New Roman" w:eastAsia="仿宋" w:cs="仿宋"/>
          <w:sz w:val="24"/>
        </w:rPr>
        <w:t>附件二</w:t>
      </w:r>
      <w:r>
        <w:rPr>
          <w:rFonts w:hint="eastAsia"/>
        </w:rPr>
        <w:t xml:space="preserve"> 工业废物（液）处理处置报价单</w:t>
      </w:r>
    </w:p>
    <w:p w14:paraId="083C00AD">
      <w:pPr>
        <w:spacing w:after="78" w:line="360" w:lineRule="auto"/>
        <w:ind w:right="420"/>
        <w:rPr>
          <w:rFonts w:ascii="Times New Roman" w:hAnsi="Times New Roman" w:eastAsia="仿宋"/>
          <w:bCs/>
          <w:szCs w:val="21"/>
        </w:rPr>
      </w:pPr>
    </w:p>
    <w:p w14:paraId="00F2AE1D">
      <w:pPr>
        <w:spacing w:after="78" w:line="528" w:lineRule="atLeast"/>
        <w:jc w:val="center"/>
        <w:rPr>
          <w:rFonts w:ascii="Times New Roman" w:hAnsi="Times New Roman" w:eastAsia="仿宋"/>
          <w:sz w:val="30"/>
          <w:szCs w:val="30"/>
        </w:rPr>
      </w:pPr>
      <w:r>
        <w:rPr>
          <w:rFonts w:ascii="Times New Roman" w:hAnsi="Times New Roman" w:eastAsia="仿宋"/>
          <w:b/>
          <w:bCs/>
          <w:sz w:val="30"/>
          <w:szCs w:val="30"/>
        </w:rPr>
        <w:t>工业废物（液）处理处置报价单</w:t>
      </w:r>
    </w:p>
    <w:p w14:paraId="790E4A06">
      <w:pPr>
        <w:spacing w:after="78" w:line="528" w:lineRule="atLeast"/>
        <w:rPr>
          <w:rFonts w:ascii="Times New Roman" w:hAnsi="Times New Roman" w:eastAsia="仿宋"/>
          <w:sz w:val="22"/>
          <w:szCs w:val="22"/>
        </w:rPr>
      </w:pPr>
      <w:r>
        <w:rPr>
          <w:rFonts w:ascii="Times New Roman" w:hAnsi="Times New Roman" w:eastAsia="仿宋"/>
          <w:sz w:val="22"/>
          <w:szCs w:val="22"/>
        </w:rPr>
        <w:t>根据甲方提供的工业废物（液）种类，经综合考虑处理工艺技术成本，现乙方报价如下：</w:t>
      </w: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0" w:type="dxa"/>
          <w:bottom w:w="0" w:type="dxa"/>
          <w:right w:w="50" w:type="dxa"/>
        </w:tblCellMar>
      </w:tblPr>
      <w:tblGrid>
        <w:gridCol w:w="646"/>
        <w:gridCol w:w="1020"/>
        <w:gridCol w:w="1080"/>
        <w:gridCol w:w="705"/>
        <w:gridCol w:w="1463"/>
        <w:gridCol w:w="982"/>
        <w:gridCol w:w="982"/>
        <w:gridCol w:w="982"/>
        <w:gridCol w:w="982"/>
        <w:gridCol w:w="982"/>
        <w:gridCol w:w="982"/>
      </w:tblGrid>
      <w:tr w14:paraId="33388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blHeade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3AD0ED">
            <w:pPr>
              <w:spacing w:after="78"/>
              <w:jc w:val="center"/>
              <w:rPr>
                <w:rFonts w:ascii="Times New Roman" w:hAnsi="Times New Roman" w:eastAsia="仿宋"/>
                <w:sz w:val="20"/>
                <w:szCs w:val="20"/>
              </w:rPr>
            </w:pPr>
            <w:r>
              <w:rPr>
                <w:rFonts w:ascii="Times New Roman" w:hAnsi="Times New Roman" w:eastAsia="仿宋"/>
                <w:b/>
                <w:bCs/>
                <w:sz w:val="20"/>
                <w:szCs w:val="20"/>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6DE625">
            <w:pPr>
              <w:spacing w:after="78"/>
              <w:jc w:val="center"/>
              <w:rPr>
                <w:rFonts w:ascii="Times New Roman" w:hAnsi="Times New Roman" w:eastAsia="仿宋"/>
                <w:sz w:val="20"/>
                <w:szCs w:val="20"/>
              </w:rPr>
            </w:pPr>
            <w:r>
              <w:rPr>
                <w:rFonts w:ascii="Times New Roman" w:hAnsi="Times New Roman" w:eastAsia="仿宋"/>
                <w:b/>
                <w:bCs/>
                <w:sz w:val="20"/>
                <w:szCs w:val="20"/>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622EF4F">
            <w:pPr>
              <w:spacing w:after="78"/>
              <w:jc w:val="center"/>
              <w:rPr>
                <w:rFonts w:ascii="Times New Roman" w:hAnsi="Times New Roman" w:eastAsia="仿宋"/>
                <w:sz w:val="20"/>
                <w:szCs w:val="20"/>
              </w:rPr>
            </w:pPr>
            <w:r>
              <w:rPr>
                <w:rFonts w:ascii="Times New Roman" w:hAnsi="Times New Roman" w:eastAsia="仿宋"/>
                <w:b/>
                <w:bCs/>
                <w:sz w:val="20"/>
                <w:szCs w:val="20"/>
              </w:rPr>
              <w:t>废物编号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54389AF">
            <w:pPr>
              <w:spacing w:after="78"/>
              <w:jc w:val="center"/>
              <w:rPr>
                <w:rFonts w:ascii="Times New Roman" w:hAnsi="Times New Roman" w:eastAsia="仿宋"/>
                <w:sz w:val="20"/>
                <w:szCs w:val="20"/>
              </w:rPr>
            </w:pPr>
            <w:r>
              <w:rPr>
                <w:rFonts w:ascii="Times New Roman" w:hAnsi="Times New Roman" w:eastAsia="仿宋"/>
                <w:b/>
                <w:bCs/>
                <w:sz w:val="20"/>
                <w:szCs w:val="20"/>
              </w:rPr>
              <w:t>规格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B05CC33">
            <w:pPr>
              <w:spacing w:after="78"/>
              <w:jc w:val="center"/>
              <w:rPr>
                <w:rFonts w:ascii="Times New Roman" w:hAnsi="Times New Roman" w:eastAsia="仿宋"/>
                <w:sz w:val="20"/>
                <w:szCs w:val="20"/>
              </w:rPr>
            </w:pPr>
            <w:r>
              <w:rPr>
                <w:rFonts w:ascii="Times New Roman" w:hAnsi="Times New Roman" w:eastAsia="仿宋"/>
                <w:b/>
                <w:bCs/>
                <w:sz w:val="20"/>
                <w:szCs w:val="20"/>
              </w:rPr>
              <w:t>年预计量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77A143">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0724DEC">
            <w:pPr>
              <w:spacing w:after="78"/>
              <w:jc w:val="center"/>
              <w:rPr>
                <w:rFonts w:ascii="Times New Roman" w:hAnsi="Times New Roman" w:eastAsia="仿宋"/>
                <w:sz w:val="20"/>
                <w:szCs w:val="20"/>
              </w:rPr>
            </w:pPr>
            <w:r>
              <w:rPr>
                <w:rFonts w:ascii="Times New Roman" w:hAnsi="Times New Roman" w:eastAsia="仿宋"/>
                <w:b/>
                <w:bCs/>
                <w:sz w:val="20"/>
                <w:szCs w:val="20"/>
              </w:rPr>
              <w:t>包装方式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C24349F">
            <w:pPr>
              <w:spacing w:after="78"/>
              <w:jc w:val="center"/>
              <w:rPr>
                <w:rFonts w:ascii="Times New Roman" w:hAnsi="Times New Roman" w:eastAsia="仿宋"/>
                <w:sz w:val="20"/>
                <w:szCs w:val="20"/>
              </w:rPr>
            </w:pPr>
            <w:r>
              <w:rPr>
                <w:rFonts w:ascii="Times New Roman" w:hAnsi="Times New Roman" w:eastAsia="仿宋"/>
                <w:b/>
                <w:bCs/>
                <w:sz w:val="20"/>
                <w:szCs w:val="20"/>
              </w:rPr>
              <w:t>处理方式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038217">
            <w:pPr>
              <w:spacing w:after="78"/>
              <w:jc w:val="center"/>
              <w:rPr>
                <w:rFonts w:ascii="Times New Roman" w:hAnsi="Times New Roman" w:eastAsia="仿宋"/>
                <w:sz w:val="20"/>
                <w:szCs w:val="20"/>
              </w:rPr>
            </w:pPr>
            <w:r>
              <w:rPr>
                <w:rFonts w:ascii="Times New Roman" w:hAnsi="Times New Roman" w:eastAsia="仿宋"/>
                <w:b/>
                <w:bCs/>
                <w:sz w:val="20"/>
                <w:szCs w:val="20"/>
              </w:rPr>
              <w:t>单价</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A28D64">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816F16C">
            <w:pPr>
              <w:spacing w:after="78"/>
              <w:jc w:val="center"/>
              <w:rPr>
                <w:rFonts w:ascii="Times New Roman" w:hAnsi="Times New Roman" w:eastAsia="仿宋"/>
                <w:sz w:val="20"/>
                <w:szCs w:val="20"/>
              </w:rPr>
            </w:pPr>
            <w:r>
              <w:rPr>
                <w:rFonts w:ascii="Times New Roman" w:hAnsi="Times New Roman" w:eastAsia="仿宋"/>
                <w:b/>
                <w:bCs/>
                <w:sz w:val="20"/>
                <w:szCs w:val="20"/>
              </w:rPr>
              <w:t>付款方</w:t>
            </w:r>
          </w:p>
        </w:tc>
      </w:tr>
      <w:tr w14:paraId="2992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10806" w:type="dxa"/>
            <w:gridSpan w:val="11"/>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B04FE0B">
            <w:pPr>
              <w:spacing w:after="78"/>
              <w:jc w:val="center"/>
              <w:rPr>
                <w:rFonts w:ascii="Times New Roman" w:hAnsi="Times New Roman" w:eastAsia="仿宋"/>
                <w:sz w:val="20"/>
                <w:szCs w:val="20"/>
              </w:rPr>
            </w:pPr>
          </w:p>
        </w:tc>
      </w:tr>
      <w:tr w14:paraId="247C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B4004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7CD1F4">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8F763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2B66667">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A83827D">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231E60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52749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95044E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76F9C7F">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FD37A6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0C433F">
            <w:pPr>
              <w:spacing w:after="78"/>
              <w:jc w:val="center"/>
              <w:rPr>
                <w:rFonts w:ascii="Times New Roman" w:hAnsi="Times New Roman" w:eastAsia="仿宋"/>
                <w:sz w:val="20"/>
                <w:szCs w:val="20"/>
              </w:rPr>
            </w:pPr>
          </w:p>
        </w:tc>
      </w:tr>
      <w:tr w14:paraId="30556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C7A8C8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46F3A7D">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A23C6DF">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9911D58">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F1FABF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15B56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4DD9FD0">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48D59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636D25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02FBD81">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285C14D">
            <w:pPr>
              <w:spacing w:after="78"/>
              <w:jc w:val="center"/>
              <w:rPr>
                <w:rFonts w:ascii="Times New Roman" w:hAnsi="Times New Roman" w:eastAsia="仿宋"/>
                <w:sz w:val="20"/>
                <w:szCs w:val="20"/>
              </w:rPr>
            </w:pPr>
          </w:p>
        </w:tc>
      </w:tr>
      <w:tr w14:paraId="49020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8391FE4">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289657E">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C07495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E94B19F">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96EEAA3">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F2C732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74AE72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F929549">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57614B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E05B2C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BA877A0">
            <w:pPr>
              <w:spacing w:after="78"/>
              <w:jc w:val="center"/>
              <w:rPr>
                <w:rFonts w:ascii="Times New Roman" w:hAnsi="Times New Roman" w:eastAsia="仿宋"/>
                <w:sz w:val="20"/>
                <w:szCs w:val="20"/>
              </w:rPr>
            </w:pPr>
          </w:p>
        </w:tc>
      </w:tr>
    </w:tbl>
    <w:p w14:paraId="6EEDEC6F">
      <w:pPr>
        <w:spacing w:after="78"/>
        <w:rPr>
          <w:rFonts w:ascii="Times New Roman" w:hAnsi="Times New Roman" w:eastAsia="仿宋"/>
        </w:rPr>
      </w:pPr>
    </w:p>
    <w:p w14:paraId="389458AF">
      <w:pPr>
        <w:spacing w:after="78"/>
        <w:rPr>
          <w:rFonts w:ascii="Times New Roman" w:hAnsi="Times New Roman" w:eastAsia="仿宋"/>
        </w:rPr>
      </w:pPr>
    </w:p>
    <w:p w14:paraId="2E1AFCE1">
      <w:pPr>
        <w:spacing w:after="78"/>
        <w:rPr>
          <w:rFonts w:ascii="Times New Roman" w:hAnsi="Times New Roman" w:eastAsia="仿宋"/>
        </w:rPr>
      </w:pP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0" w:type="dxa"/>
          <w:bottom w:w="0" w:type="dxa"/>
          <w:right w:w="100" w:type="dxa"/>
        </w:tblCellMar>
      </w:tblPr>
      <w:tblGrid>
        <w:gridCol w:w="10806"/>
      </w:tblGrid>
      <w:tr w14:paraId="4345B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0" w:type="dxa"/>
            <w:bottom w:w="0" w:type="dxa"/>
            <w:right w:w="100" w:type="dxa"/>
          </w:tblCellMar>
        </w:tblPrEx>
        <w:trPr>
          <w:jc w:val="center"/>
        </w:trPr>
        <w:tc>
          <w:tcPr>
            <w:tcW w:w="10806" w:type="dxa"/>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tcPr>
          <w:p w14:paraId="5C640C44">
            <w:pPr>
              <w:spacing w:after="78" w:line="528" w:lineRule="atLeast"/>
              <w:rPr>
                <w:rFonts w:ascii="Times New Roman" w:hAnsi="Times New Roman" w:eastAsia="仿宋"/>
                <w:sz w:val="22"/>
                <w:szCs w:val="22"/>
              </w:rPr>
            </w:pPr>
            <w:r>
              <w:rPr>
                <w:rFonts w:ascii="Times New Roman" w:hAnsi="Times New Roman" w:eastAsia="仿宋"/>
                <w:sz w:val="22"/>
                <w:szCs w:val="22"/>
              </w:rPr>
              <w:t>1、结算方式</w:t>
            </w:r>
          </w:p>
          <w:p w14:paraId="05378651">
            <w:pPr>
              <w:spacing w:after="78" w:line="528" w:lineRule="atLeast"/>
              <w:rPr>
                <w:rFonts w:ascii="Times New Roman" w:hAnsi="Times New Roman" w:eastAsia="仿宋"/>
                <w:sz w:val="22"/>
                <w:szCs w:val="22"/>
              </w:rPr>
            </w:pPr>
            <w:r>
              <w:rPr>
                <w:rFonts w:ascii="Times New Roman" w:hAnsi="Times New Roman" w:eastAsia="仿宋"/>
                <w:sz w:val="22"/>
                <w:szCs w:val="22"/>
              </w:rPr>
              <w:t>a、</w:t>
            </w:r>
            <w:r>
              <w:rPr>
                <w:rFonts w:hint="eastAsia" w:ascii="Times New Roman" w:hAnsi="Times New Roman" w:eastAsia="仿宋"/>
                <w:sz w:val="22"/>
                <w:szCs w:val="22"/>
              </w:rPr>
              <w:t>据实支付，根据上表所列单价，每次危险废物(液)运输后凭转移联单具体数量进行结算费用。每次付款前，乙方向甲方开具6%增值税专用发票，双方确认前述服务费系根据合同签订时的情况及单价确定。</w:t>
            </w:r>
          </w:p>
          <w:p w14:paraId="3E287D56">
            <w:pPr>
              <w:spacing w:after="78" w:line="528" w:lineRule="atLeast"/>
              <w:rPr>
                <w:rFonts w:ascii="Times New Roman" w:hAnsi="Times New Roman" w:eastAsia="仿宋"/>
                <w:sz w:val="22"/>
                <w:szCs w:val="22"/>
              </w:rPr>
            </w:pPr>
            <w:r>
              <w:rPr>
                <w:rFonts w:ascii="Times New Roman" w:hAnsi="Times New Roman" w:eastAsia="仿宋"/>
                <w:sz w:val="22"/>
                <w:szCs w:val="22"/>
              </w:rPr>
              <w:t>b、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w:t>
            </w:r>
            <w:r>
              <w:rPr>
                <w:rFonts w:hint="eastAsia" w:ascii="Times New Roman" w:hAnsi="Times New Roman" w:eastAsia="仿宋"/>
                <w:sz w:val="22"/>
                <w:szCs w:val="22"/>
              </w:rPr>
              <w:t>个工作</w:t>
            </w:r>
            <w:r>
              <w:rPr>
                <w:rFonts w:ascii="Times New Roman" w:hAnsi="Times New Roman" w:eastAsia="仿宋"/>
                <w:sz w:val="22"/>
                <w:szCs w:val="22"/>
              </w:rPr>
              <w:t>日内向乙方支付超出部分的处置费用。以上价格为含税价，乙方应依法向甲方开具增值税专用发票。</w:t>
            </w:r>
          </w:p>
          <w:p w14:paraId="325D10A7">
            <w:pPr>
              <w:spacing w:after="78" w:line="528" w:lineRule="atLeast"/>
              <w:rPr>
                <w:rFonts w:ascii="Times New Roman" w:hAnsi="Times New Roman" w:eastAsia="仿宋"/>
                <w:sz w:val="22"/>
                <w:szCs w:val="22"/>
              </w:rPr>
            </w:pPr>
            <w:r>
              <w:rPr>
                <w:rFonts w:ascii="Times New Roman" w:hAnsi="Times New Roman" w:eastAsia="仿宋"/>
                <w:sz w:val="22"/>
                <w:szCs w:val="22"/>
              </w:rPr>
              <w:t>c、本合同的工业服务费包含但不限于合同中各项工业废物（液）取样检测分析、工业废物（液）分类标签标示服务咨询、工业废物（液）处置方案提供等工业服务费。</w:t>
            </w:r>
          </w:p>
          <w:p w14:paraId="3754AA4A">
            <w:pPr>
              <w:spacing w:after="78" w:line="528" w:lineRule="atLeast"/>
              <w:rPr>
                <w:rFonts w:ascii="Times New Roman" w:hAnsi="Times New Roman" w:eastAsia="仿宋"/>
                <w:sz w:val="22"/>
                <w:szCs w:val="22"/>
              </w:rPr>
            </w:pPr>
            <w:r>
              <w:rPr>
                <w:rFonts w:ascii="Times New Roman" w:hAnsi="Times New Roman" w:eastAsia="仿宋"/>
                <w:sz w:val="22"/>
                <w:szCs w:val="22"/>
              </w:rPr>
              <w:t>2、运输条款</w:t>
            </w:r>
          </w:p>
          <w:p w14:paraId="4615A7A2">
            <w:pPr>
              <w:spacing w:after="78" w:line="528" w:lineRule="atLeast"/>
              <w:rPr>
                <w:rFonts w:ascii="Times New Roman" w:hAnsi="Times New Roman" w:eastAsia="仿宋"/>
                <w:sz w:val="22"/>
                <w:szCs w:val="22"/>
              </w:rPr>
            </w:pPr>
            <w:r>
              <w:rPr>
                <w:rFonts w:ascii="Times New Roman" w:hAnsi="Times New Roman" w:eastAsia="仿宋"/>
                <w:sz w:val="22"/>
                <w:szCs w:val="22"/>
              </w:rPr>
              <w:t>合同有效期内，乙方免费提供2次工业废物（液）收运服务（仅指免收运费，处理费等其他服务费不计入免费范围），但甲方应提前15天通知乙方。如甲方需增加运输次数且单次工业废物（液）收运量不足3吨，乙方则按</w:t>
            </w:r>
            <w:r>
              <w:rPr>
                <w:rFonts w:hint="eastAsia" w:ascii="Times New Roman" w:hAnsi="Times New Roman" w:eastAsia="仿宋"/>
                <w:sz w:val="22"/>
                <w:szCs w:val="22"/>
              </w:rPr>
              <w:t>5</w:t>
            </w:r>
            <w:r>
              <w:rPr>
                <w:rFonts w:ascii="Times New Roman" w:hAnsi="Times New Roman" w:eastAsia="仿宋"/>
                <w:sz w:val="22"/>
                <w:szCs w:val="22"/>
              </w:rPr>
              <w:t>00元/车次另加收收运费（该费用不包含在打包收取的服务费中），甲方应在当次待处理工业废物（液）交乙方收运后15</w:t>
            </w:r>
            <w:r>
              <w:rPr>
                <w:rFonts w:hint="eastAsia" w:ascii="Times New Roman" w:hAnsi="Times New Roman" w:eastAsia="仿宋"/>
                <w:sz w:val="22"/>
                <w:szCs w:val="22"/>
              </w:rPr>
              <w:t>个工作</w:t>
            </w:r>
            <w:r>
              <w:rPr>
                <w:rFonts w:ascii="Times New Roman" w:hAnsi="Times New Roman" w:eastAsia="仿宋"/>
                <w:sz w:val="22"/>
                <w:szCs w:val="22"/>
              </w:rPr>
              <w:t>日内向乙方支付当次的收运费。</w:t>
            </w:r>
          </w:p>
          <w:p w14:paraId="47CCC805">
            <w:pPr>
              <w:spacing w:after="78" w:line="528" w:lineRule="atLeast"/>
              <w:rPr>
                <w:rFonts w:ascii="Times New Roman" w:hAnsi="Times New Roman" w:eastAsia="仿宋"/>
                <w:sz w:val="22"/>
                <w:szCs w:val="22"/>
              </w:rPr>
            </w:pPr>
            <w:r>
              <w:rPr>
                <w:rFonts w:ascii="Times New Roman" w:hAnsi="Times New Roman" w:eastAsia="仿宋"/>
                <w:sz w:val="22"/>
                <w:szCs w:val="22"/>
              </w:rPr>
              <w:t>3、以上废空桶为盛装过废酸废物的，主要残留成分为废酸，不含剧毒、强反应性、强还原性、易燃易爆等成分。</w:t>
            </w:r>
          </w:p>
          <w:p w14:paraId="16223D50">
            <w:pPr>
              <w:spacing w:after="78" w:line="528" w:lineRule="atLeast"/>
              <w:rPr>
                <w:rFonts w:ascii="Times New Roman" w:hAnsi="Times New Roman" w:eastAsia="仿宋"/>
                <w:sz w:val="22"/>
                <w:szCs w:val="22"/>
              </w:rPr>
            </w:pPr>
            <w:r>
              <w:rPr>
                <w:rFonts w:hint="eastAsia" w:ascii="Times New Roman" w:hAnsi="Times New Roman" w:eastAsia="仿宋"/>
                <w:sz w:val="22"/>
                <w:szCs w:val="22"/>
              </w:rPr>
              <w:t>4</w:t>
            </w:r>
            <w:r>
              <w:rPr>
                <w:rFonts w:ascii="Times New Roman" w:hAnsi="Times New Roman" w:eastAsia="仿宋"/>
                <w:sz w:val="22"/>
                <w:szCs w:val="22"/>
              </w:rPr>
              <w:t>、甲方将各类待处理工业废物（液）分开存放，如有桶装废液请贴上标签做好标识，并按照《废物（液）处理处置及工业服务合同》约定做好分类及标志等。</w:t>
            </w:r>
          </w:p>
          <w:p w14:paraId="3A96E334">
            <w:pPr>
              <w:spacing w:after="78" w:line="528" w:lineRule="atLeast"/>
              <w:rPr>
                <w:rFonts w:ascii="Times New Roman" w:hAnsi="Times New Roman" w:eastAsia="仿宋"/>
                <w:sz w:val="22"/>
                <w:szCs w:val="22"/>
              </w:rPr>
            </w:pPr>
            <w:r>
              <w:rPr>
                <w:rFonts w:hint="eastAsia" w:ascii="Times New Roman" w:hAnsi="Times New Roman" w:eastAsia="仿宋"/>
                <w:sz w:val="22"/>
                <w:szCs w:val="22"/>
              </w:rPr>
              <w:t>5</w:t>
            </w:r>
            <w:r>
              <w:rPr>
                <w:rFonts w:ascii="Times New Roman" w:hAnsi="Times New Roman" w:eastAsia="仿宋"/>
                <w:sz w:val="22"/>
                <w:szCs w:val="22"/>
              </w:rPr>
              <w:t>、本报价单包含甲、乙双方商业机密，仅限于内部存档，切勿对外提供或披露。</w:t>
            </w:r>
          </w:p>
          <w:p w14:paraId="4997241F">
            <w:pPr>
              <w:spacing w:after="78" w:line="528" w:lineRule="atLeast"/>
              <w:rPr>
                <w:rFonts w:ascii="Times New Roman" w:hAnsi="Times New Roman" w:eastAsia="仿宋"/>
                <w:sz w:val="22"/>
                <w:szCs w:val="22"/>
              </w:rPr>
            </w:pPr>
            <w:r>
              <w:rPr>
                <w:rFonts w:hint="eastAsia" w:ascii="Times New Roman" w:hAnsi="Times New Roman" w:eastAsia="仿宋"/>
                <w:sz w:val="22"/>
                <w:szCs w:val="22"/>
              </w:rPr>
              <w:t>6</w:t>
            </w:r>
            <w:r>
              <w:rPr>
                <w:rFonts w:ascii="Times New Roman" w:hAnsi="Times New Roman" w:eastAsia="仿宋"/>
                <w:sz w:val="22"/>
                <w:szCs w:val="22"/>
              </w:rPr>
              <w:t xml:space="preserve">、本报价单为甲、乙双方于 </w:t>
            </w:r>
            <w:r>
              <w:rPr>
                <w:rFonts w:hint="eastAsia" w:ascii="Times New Roman" w:hAnsi="Times New Roman" w:eastAsia="仿宋"/>
                <w:sz w:val="22"/>
                <w:szCs w:val="22"/>
              </w:rPr>
              <w:t xml:space="preserve">    </w:t>
            </w:r>
            <w:r>
              <w:rPr>
                <w:rFonts w:ascii="Times New Roman" w:hAnsi="Times New Roman" w:eastAsia="仿宋"/>
                <w:sz w:val="22"/>
                <w:szCs w:val="22"/>
              </w:rPr>
              <w:t xml:space="preserve">年 </w:t>
            </w:r>
            <w:r>
              <w:rPr>
                <w:rFonts w:hint="eastAsia" w:ascii="Times New Roman" w:hAnsi="Times New Roman" w:eastAsia="仿宋"/>
                <w:sz w:val="22"/>
                <w:szCs w:val="22"/>
              </w:rPr>
              <w:t xml:space="preserve">   </w:t>
            </w:r>
            <w:r>
              <w:rPr>
                <w:rFonts w:ascii="Times New Roman" w:hAnsi="Times New Roman" w:eastAsia="仿宋"/>
                <w:sz w:val="22"/>
                <w:szCs w:val="22"/>
              </w:rPr>
              <w:t xml:space="preserve">月 </w:t>
            </w:r>
            <w:r>
              <w:rPr>
                <w:rFonts w:hint="eastAsia" w:ascii="Times New Roman" w:hAnsi="Times New Roman" w:eastAsia="仿宋"/>
                <w:sz w:val="22"/>
                <w:szCs w:val="22"/>
              </w:rPr>
              <w:t xml:space="preserve">    </w:t>
            </w:r>
            <w:r>
              <w:rPr>
                <w:rFonts w:ascii="Times New Roman" w:hAnsi="Times New Roman" w:eastAsia="仿宋"/>
                <w:sz w:val="22"/>
                <w:szCs w:val="22"/>
              </w:rPr>
              <w:t>日签署的《废物（液）处理处置及工业服务合同》（合同编号：</w:t>
            </w:r>
            <w:r>
              <w:rPr>
                <w:rFonts w:hint="eastAsia" w:ascii="Times New Roman" w:hAnsi="Times New Roman" w:eastAsia="仿宋"/>
                <w:sz w:val="22"/>
                <w:szCs w:val="22"/>
              </w:rPr>
              <w:t xml:space="preserve">                </w:t>
            </w:r>
            <w:r>
              <w:rPr>
                <w:rFonts w:ascii="Times New Roman" w:hAnsi="Times New Roman" w:eastAsia="仿宋"/>
                <w:sz w:val="22"/>
                <w:szCs w:val="22"/>
              </w:rPr>
              <w:t>）的附件。本报价单与《废物（液）处理处置及工业服务合同》</w:t>
            </w:r>
            <w:r>
              <w:rPr>
                <w:rFonts w:hint="eastAsia" w:ascii="Times New Roman" w:hAnsi="Times New Roman" w:eastAsia="仿宋"/>
                <w:sz w:val="22"/>
                <w:szCs w:val="22"/>
              </w:rPr>
              <w:t>约定不一致的，以利于甲方的约定为准</w:t>
            </w:r>
            <w:r>
              <w:rPr>
                <w:rFonts w:ascii="Times New Roman" w:hAnsi="Times New Roman" w:eastAsia="仿宋"/>
                <w:sz w:val="22"/>
                <w:szCs w:val="22"/>
              </w:rPr>
              <w:t>。本报价单未涉及事宜，遵照双方签署的《废物（液）处理处置及工业服务合同》执行。</w:t>
            </w:r>
          </w:p>
          <w:p w14:paraId="4651981F">
            <w:pPr>
              <w:spacing w:after="78" w:line="528" w:lineRule="atLeast"/>
              <w:rPr>
                <w:rFonts w:ascii="Times New Roman" w:hAnsi="Times New Roman" w:eastAsia="仿宋"/>
                <w:sz w:val="22"/>
                <w:szCs w:val="22"/>
              </w:rPr>
            </w:pPr>
            <w:r>
              <w:rPr>
                <w:rFonts w:hint="eastAsia" w:ascii="Times New Roman" w:hAnsi="Times New Roman" w:eastAsia="仿宋"/>
                <w:sz w:val="22"/>
                <w:szCs w:val="22"/>
              </w:rPr>
              <w:t>7</w:t>
            </w:r>
            <w:r>
              <w:rPr>
                <w:rFonts w:ascii="Times New Roman" w:hAnsi="Times New Roman" w:eastAsia="仿宋"/>
                <w:sz w:val="22"/>
                <w:szCs w:val="22"/>
              </w:rPr>
              <w:t>、上述甲方为:</w:t>
            </w:r>
            <w:r>
              <w:rPr>
                <w:rFonts w:hint="eastAsia" w:ascii="Times New Roman" w:hAnsi="Times New Roman" w:eastAsia="仿宋"/>
                <w:sz w:val="22"/>
                <w:szCs w:val="22"/>
              </w:rPr>
              <w:t xml:space="preserve">                             </w:t>
            </w:r>
            <w:r>
              <w:rPr>
                <w:rFonts w:ascii="Times New Roman" w:hAnsi="Times New Roman" w:eastAsia="仿宋"/>
                <w:sz w:val="22"/>
                <w:szCs w:val="22"/>
              </w:rPr>
              <w:t>，乙方为:</w:t>
            </w:r>
            <w:r>
              <w:rPr>
                <w:rFonts w:hint="eastAsia" w:ascii="Times New Roman" w:hAnsi="Times New Roman" w:eastAsia="仿宋"/>
                <w:sz w:val="22"/>
                <w:szCs w:val="22"/>
              </w:rPr>
              <w:t xml:space="preserve">                        </w:t>
            </w:r>
            <w:r>
              <w:rPr>
                <w:rFonts w:ascii="Times New Roman" w:hAnsi="Times New Roman" w:eastAsia="仿宋"/>
                <w:sz w:val="22"/>
                <w:szCs w:val="22"/>
              </w:rPr>
              <w:t>。</w:t>
            </w:r>
          </w:p>
        </w:tc>
      </w:tr>
    </w:tbl>
    <w:p w14:paraId="644EF4F6">
      <w:pPr>
        <w:spacing w:after="78"/>
        <w:rPr>
          <w:rFonts w:ascii="Times New Roman" w:hAnsi="Times New Roman" w:eastAsia="仿宋"/>
          <w:sz w:val="22"/>
          <w:szCs w:val="22"/>
        </w:rPr>
      </w:pPr>
    </w:p>
    <w:p w14:paraId="441868B2">
      <w:pPr>
        <w:spacing w:after="78" w:line="360" w:lineRule="auto"/>
        <w:ind w:right="420"/>
        <w:jc w:val="center"/>
        <w:rPr>
          <w:rFonts w:ascii="Times New Roman" w:hAnsi="Times New Roman" w:eastAsia="仿宋"/>
          <w:szCs w:val="21"/>
        </w:rPr>
      </w:pPr>
    </w:p>
    <w:p w14:paraId="77753AA5">
      <w:pPr>
        <w:spacing w:after="78" w:line="360" w:lineRule="auto"/>
        <w:ind w:right="420"/>
        <w:jc w:val="center"/>
        <w:rPr>
          <w:rFonts w:ascii="Times New Roman" w:hAnsi="Times New Roman" w:eastAsia="仿宋"/>
          <w:szCs w:val="21"/>
        </w:rPr>
      </w:pPr>
    </w:p>
    <w:p w14:paraId="6757BECE">
      <w:pPr>
        <w:pStyle w:val="4"/>
        <w:spacing w:after="78"/>
        <w:rPr>
          <w:rFonts w:ascii="Times New Roman" w:hAnsi="Times New Roman" w:eastAsia="仿宋" w:cs="仿宋"/>
          <w:sz w:val="24"/>
          <w:szCs w:val="28"/>
        </w:rPr>
      </w:pPr>
      <w:r>
        <w:rPr>
          <w:rFonts w:hint="eastAsia" w:ascii="Times New Roman" w:hAnsi="Times New Roman" w:eastAsia="仿宋"/>
          <w:szCs w:val="21"/>
        </w:rPr>
        <w:br w:type="page"/>
      </w:r>
      <w:r>
        <w:rPr>
          <w:rFonts w:hint="eastAsia" w:ascii="Times New Roman" w:hAnsi="Times New Roman" w:eastAsia="仿宋" w:cs="仿宋"/>
          <w:sz w:val="24"/>
          <w:szCs w:val="28"/>
        </w:rPr>
        <w:t>附件</w:t>
      </w:r>
      <w:r>
        <w:rPr>
          <w:rFonts w:hint="eastAsia" w:ascii="Times New Roman" w:hAnsi="Times New Roman" w:eastAsia="仿宋" w:cs="仿宋"/>
          <w:sz w:val="24"/>
        </w:rPr>
        <w:t xml:space="preserve">三 </w:t>
      </w:r>
      <w:r>
        <w:rPr>
          <w:rFonts w:hint="eastAsia" w:ascii="宋体" w:hAnsi="宋体" w:cs="宋体"/>
          <w:sz w:val="28"/>
          <w:szCs w:val="28"/>
        </w:rPr>
        <w:t>安全生产协议书</w:t>
      </w:r>
    </w:p>
    <w:p w14:paraId="2C3FD03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安全生产协议书</w:t>
      </w:r>
    </w:p>
    <w:p w14:paraId="27236642">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甲方：</w:t>
      </w:r>
      <w:r>
        <w:rPr>
          <w:rFonts w:hint="eastAsia" w:ascii="宋体" w:hAnsi="宋体" w:cs="宋体"/>
          <w:kern w:val="0"/>
          <w:sz w:val="24"/>
        </w:rPr>
        <w:t xml:space="preserve">                          </w:t>
      </w:r>
    </w:p>
    <w:p w14:paraId="1416C620">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乙方：</w:t>
      </w:r>
      <w:r>
        <w:rPr>
          <w:rFonts w:hint="eastAsia" w:ascii="宋体" w:hAnsi="宋体" w:cs="宋体"/>
          <w:kern w:val="0"/>
          <w:sz w:val="24"/>
        </w:rPr>
        <w:t xml:space="preserve">                          </w:t>
      </w:r>
    </w:p>
    <w:p w14:paraId="48BB6C6D">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hint="eastAsia" w:ascii="宋体" w:hAnsi="宋体" w:cs="宋体"/>
          <w:kern w:val="0"/>
          <w:sz w:val="24"/>
          <w:u w:val="single"/>
          <w:lang w:eastAsia="zh-Hans"/>
        </w:rPr>
        <w:t>《</w:t>
      </w:r>
      <w:r>
        <w:rPr>
          <w:rFonts w:hint="eastAsia" w:ascii="宋体" w:hAnsi="宋体" w:cs="宋体"/>
          <w:kern w:val="0"/>
          <w:sz w:val="24"/>
          <w:u w:val="single"/>
        </w:rPr>
        <w:t xml:space="preserve">              </w:t>
      </w:r>
      <w:r>
        <w:rPr>
          <w:rFonts w:hint="eastAsia" w:ascii="宋体" w:hAnsi="宋体" w:cs="宋体"/>
          <w:kern w:val="0"/>
          <w:sz w:val="24"/>
          <w:u w:val="single"/>
          <w:lang w:eastAsia="zh-Hans"/>
        </w:rPr>
        <w:t>》</w:t>
      </w:r>
      <w:r>
        <w:rPr>
          <w:rFonts w:hint="eastAsia" w:ascii="宋体" w:hAnsi="宋体" w:cs="宋体"/>
          <w:kern w:val="0"/>
          <w:sz w:val="24"/>
          <w:lang w:eastAsia="zh-Hans"/>
        </w:rPr>
        <w:t>（以下称主合同）的同时，签订本协议，并自觉遵守。</w:t>
      </w:r>
    </w:p>
    <w:p w14:paraId="593B714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一、双方应当遵循的基本原则</w:t>
      </w:r>
    </w:p>
    <w:p w14:paraId="5875AF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1.1双方安全生产监督管理人员应当坚持原则 ，忠于职守，严格按本协议的约定履行各自的权利、义务。</w:t>
      </w:r>
    </w:p>
    <w:p w14:paraId="35D1DB4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1.2双方应相互配合，支持安检工作的检查和落实。乙方不得拒绝、阻扰甲方安全监督检查工作。</w:t>
      </w:r>
    </w:p>
    <w:p w14:paraId="4ED6449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1.3乙方应牢固树立“安全第一”的指导思想，建立健全各项安全管理规章指导，制订并落实各项安全防护措施。</w:t>
      </w:r>
    </w:p>
    <w:p w14:paraId="0D12B3E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1.4双方必须严守商业秘密。</w:t>
      </w:r>
    </w:p>
    <w:p w14:paraId="218D0E6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二、甲方的权利、义务</w:t>
      </w:r>
    </w:p>
    <w:p w14:paraId="3B6E123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2.1进入现场工作之前，甲方将相关安全管理规章制度告知乙方。</w:t>
      </w:r>
    </w:p>
    <w:p w14:paraId="08BE3D9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2.2甲方安全监督管理部门对乙方进行安全检查时，有权向乙方询问有关安全措施落实情况，调阅有关安全措施资料等。</w:t>
      </w:r>
    </w:p>
    <w:p w14:paraId="054DDA1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2.3甲方对乙方工作中存在的重大安全隐患，有权责令乙方立即整改、排除。否则有权单方终止与乙方之间的主合同的履行。</w:t>
      </w:r>
    </w:p>
    <w:p w14:paraId="16B49773">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2.4甲方对乙方在本项目发生安全事故时，应尽量协助救护、保护事故现场、及时上报，并有权开展或参加对事故的调查处理。</w:t>
      </w:r>
    </w:p>
    <w:p w14:paraId="2922CA41">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2.5甲方指定部门为项目的现场安全监督管理负责人，代表甲方实施日常监督管理，并协助甲方安全管理部门的监督、考核工作。</w:t>
      </w:r>
    </w:p>
    <w:p w14:paraId="36B5F14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2.6甲方有权对乙方人员进行安全生产培训，乙方应当按照甲方要求组织所有相关工作人员参与。</w:t>
      </w:r>
    </w:p>
    <w:p w14:paraId="7CF656E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三、乙方的权利、义务</w:t>
      </w:r>
    </w:p>
    <w:p w14:paraId="1170F6D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3.1乙方严禁违背采购文件及合同要求将主合同项下的全部或部分工作转包或者违法分包。否则所发生安全事故，由乙方承担全部安全生产责任。</w:t>
      </w:r>
    </w:p>
    <w:p w14:paraId="35BB94C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3.2乙方人员应当遵守甲方规章制度，接受甲方安全检查、监督，对违反甲方有关安全管理制度及规定的行为，甲方有权责令乙方立即停止并给予处罚。</w:t>
      </w:r>
    </w:p>
    <w:p w14:paraId="7846EF2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3.3乙方应具有安全管理组织体制（对特种作业的项目乙方必须出具有效的资质证书），在甲方现场作业期间，乙方应指派专(兼)职安全人员，全面负责项目的安全、现场、消防等工作。</w:t>
      </w:r>
    </w:p>
    <w:p w14:paraId="545298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3.4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3.5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3.6各类作业人员必须具有相应的安全技术素质及上岗证，特种作业人员必须持有有效的特种作业操作证方准上岗，所使用的特种作业设备必须取得有效的特种作业设备强制安全检验合格证，方准现场使用。</w:t>
      </w:r>
    </w:p>
    <w:p w14:paraId="3503184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3.7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3.9乙方人员在作业现场不得擅自动用或操作甲方的设备和机具，否则按本协议约定视为违约，承担违约金，因此酿成的后果由乙方负责。</w:t>
      </w:r>
    </w:p>
    <w:p w14:paraId="726BA07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3.10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5F6DFE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3.11乙方在作业期间自备的设备必须符合安全要求。</w:t>
      </w:r>
    </w:p>
    <w:p w14:paraId="0AF8541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3.12乙方作业期间的用电必须取得甲方同意，将电源接入其作业场所的总配白箱，必须有防止影响上一级电源的过流断路保护，方不得私自拉接电源，否则按本协议约定承担违约金。</w:t>
      </w:r>
    </w:p>
    <w:p w14:paraId="73BEF8E1">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3.13在易燃、易爆、有毒有害危险区域进行施工作业，乙方必须严格执行有关专业管理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005EB99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3.14配合做好甲方要求的其他安全生产措施。</w:t>
      </w:r>
    </w:p>
    <w:p w14:paraId="4D0388D6">
      <w:pPr>
        <w:widowControl/>
        <w:spacing w:after="78" w:line="360" w:lineRule="auto"/>
        <w:ind w:firstLine="480" w:firstLineChars="200"/>
      </w:pPr>
      <w:r>
        <w:rPr>
          <w:rFonts w:hint="eastAsia" w:ascii="宋体" w:hAnsi="宋体" w:cs="宋体"/>
          <w:kern w:val="0"/>
          <w:sz w:val="24"/>
        </w:rPr>
        <w:t>3.15乙方内部应当建立完善的安全管理制度，落实安全管理责任，包括但不限于：（1）配备符合法律法规、规范性文件、国家及地方政策要求的安全人员，如前述文件未作出规定的，乙方配备的安全人员不少于【1】人。（2）建立安全隐患的排查机制，定期对工作区域进行事故排查。（3）建立事故报告机制，要求工作人员在发现安全隐患、事故后，依法依约及时报告。</w:t>
      </w:r>
    </w:p>
    <w:p w14:paraId="1BA55A8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四、违约责任</w:t>
      </w:r>
    </w:p>
    <w:p w14:paraId="318FAF29">
      <w:pPr>
        <w:spacing w:after="78" w:line="360" w:lineRule="auto"/>
        <w:ind w:firstLine="480" w:firstLineChars="200"/>
        <w:rPr>
          <w:rFonts w:hint="eastAsia" w:ascii="宋体" w:hAnsi="宋体" w:cs="宋体"/>
          <w:kern w:val="0"/>
          <w:sz w:val="24"/>
        </w:rPr>
      </w:pPr>
      <w:r>
        <w:rPr>
          <w:rFonts w:hint="eastAsia" w:ascii="宋体" w:hAnsi="宋体" w:cs="宋体"/>
          <w:kern w:val="0"/>
          <w:sz w:val="24"/>
        </w:rPr>
        <w:t>4.1因乙方管理或操作不当产生的安全隐患，限期未整改的，每发生一例罚款1万元；未与进场人员签订安全生产责任书的，每缺少一人签订，罚款【0.5】万元；未落实安全生产责任制开展三级安全教育，每发现一次罚款【0.5】万元；未配合甲方进行安全检查的，每发生一次罚款【0.5】万元；安全事故每发生一起，乙方承担合同已发生金额【5】%的违约金。</w:t>
      </w:r>
    </w:p>
    <w:p w14:paraId="703F8CDC">
      <w:pPr>
        <w:spacing w:after="78" w:line="360" w:lineRule="auto"/>
        <w:ind w:firstLine="480" w:firstLineChars="200"/>
        <w:rPr>
          <w:rFonts w:hint="eastAsia" w:ascii="宋体" w:hAnsi="宋体" w:cs="宋体"/>
          <w:kern w:val="0"/>
          <w:sz w:val="24"/>
        </w:rPr>
      </w:pPr>
      <w:r>
        <w:rPr>
          <w:rFonts w:hint="eastAsia" w:ascii="宋体" w:hAnsi="宋体" w:cs="宋体"/>
          <w:kern w:val="0"/>
          <w:sz w:val="24"/>
        </w:rPr>
        <w:t>4.2如乙方出现本条第（一）款以外的违约行为，每发生一次向甲方支付违约金【1】万元。</w:t>
      </w:r>
    </w:p>
    <w:p w14:paraId="510BD36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4.3乙方违约给甲方造成损失的，除支付违约金外，还应当另行赔偿给甲方造成的损失</w:t>
      </w:r>
      <w:r>
        <w:rPr>
          <w:rFonts w:hint="eastAsia" w:ascii="宋体" w:hAnsi="宋体" w:cs="宋体"/>
          <w:sz w:val="24"/>
        </w:rPr>
        <w:t>。同时，甲方追究乙方法律责任而支付的案件受理费、保全费、执行费、公告费、律师费、保全担保费/保险费、公证费等合理费用，由乙方承担。</w:t>
      </w:r>
    </w:p>
    <w:p w14:paraId="4DB8E2A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4.4因乙方违约而发生的违约金和赔偿金，甲方可在应付乙方的相关款中予以扣减。</w:t>
      </w:r>
    </w:p>
    <w:p w14:paraId="48DC76F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五、附则</w:t>
      </w:r>
    </w:p>
    <w:p w14:paraId="4CCCA816">
      <w:pPr>
        <w:widowControl/>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本协议与双方所签订的主合同具有同等法律效力。</w:t>
      </w:r>
    </w:p>
    <w:p w14:paraId="62594355">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六、其他</w:t>
      </w:r>
    </w:p>
    <w:p w14:paraId="157910F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6.1协议未尽事宜，由双方另行协商处理。</w:t>
      </w:r>
    </w:p>
    <w:p w14:paraId="608B80BB">
      <w:pPr>
        <w:adjustRightInd w:val="0"/>
        <w:snapToGrid w:val="0"/>
        <w:spacing w:after="78" w:line="360" w:lineRule="auto"/>
        <w:ind w:firstLine="480" w:firstLineChars="200"/>
        <w:rPr>
          <w:rFonts w:hint="eastAsia" w:ascii="宋体" w:hAnsi="宋体" w:cs="宋体"/>
          <w:sz w:val="24"/>
        </w:rPr>
      </w:pPr>
      <w:r>
        <w:rPr>
          <w:rFonts w:hint="eastAsia" w:ascii="宋体" w:hAnsi="宋体" w:cs="宋体"/>
          <w:kern w:val="0"/>
          <w:sz w:val="24"/>
        </w:rPr>
        <w:t>6.2本协议在履行过程中发生争议，由双方协商解决，协商不成的</w:t>
      </w:r>
      <w:r>
        <w:rPr>
          <w:rFonts w:hint="eastAsia" w:ascii="宋体" w:hAnsi="宋体" w:cs="宋体"/>
          <w:sz w:val="24"/>
        </w:rPr>
        <w:t>任何一方均可向工程所在地有管辖权的人民法院提起诉讼。</w:t>
      </w:r>
    </w:p>
    <w:p w14:paraId="62D672F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6.3本协议一式【肆】份，其中甲乙双方各执【贰】份，甲乙双方法定代表人或授权代表签字并加盖双方印章后生效。</w:t>
      </w:r>
    </w:p>
    <w:tbl>
      <w:tblPr>
        <w:tblStyle w:val="23"/>
        <w:tblpPr w:leftFromText="180" w:rightFromText="180" w:vertAnchor="text" w:horzAnchor="page" w:tblpXSpec="center" w:tblpY="158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B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804DF7E">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4DFED158">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1F31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1E7887D0">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c>
          <w:tcPr>
            <w:tcW w:w="2500" w:type="pct"/>
            <w:vAlign w:val="center"/>
          </w:tcPr>
          <w:p w14:paraId="10FEEF5D">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r>
      <w:tr w14:paraId="1D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45C10EF6">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A67DC32">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7E62869E">
      <w:pPr>
        <w:pStyle w:val="7"/>
        <w:spacing w:after="78"/>
      </w:pPr>
    </w:p>
    <w:p w14:paraId="24D34E31">
      <w:pPr>
        <w:spacing w:after="78"/>
      </w:pPr>
      <w:r>
        <w:rPr>
          <w:rFonts w:hint="eastAsia"/>
        </w:rPr>
        <w:br w:type="page"/>
      </w:r>
    </w:p>
    <w:p w14:paraId="596B6BC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912205D">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97812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177041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单位名称（盖章）</w:t>
            </w:r>
          </w:p>
        </w:tc>
        <w:tc>
          <w:tcPr>
            <w:tcW w:w="6693" w:type="dxa"/>
            <w:gridSpan w:val="6"/>
            <w:vAlign w:val="center"/>
          </w:tcPr>
          <w:p w14:paraId="48867660">
            <w:pPr>
              <w:widowControl/>
              <w:spacing w:after="78" w:line="360" w:lineRule="atLeast"/>
              <w:jc w:val="center"/>
              <w:rPr>
                <w:rFonts w:hint="eastAsia" w:ascii="仿宋" w:hAnsi="仿宋" w:eastAsia="仿宋" w:cs="仿宋"/>
                <w:sz w:val="24"/>
                <w:szCs w:val="20"/>
              </w:rPr>
            </w:pPr>
          </w:p>
        </w:tc>
      </w:tr>
      <w:tr w14:paraId="27CFC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3E63BEA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3954DCE">
            <w:pPr>
              <w:widowControl/>
              <w:spacing w:after="78" w:line="360" w:lineRule="atLeast"/>
              <w:jc w:val="center"/>
              <w:rPr>
                <w:rFonts w:hint="eastAsia" w:ascii="仿宋" w:hAnsi="仿宋" w:eastAsia="仿宋" w:cs="仿宋"/>
                <w:sz w:val="24"/>
                <w:szCs w:val="20"/>
              </w:rPr>
            </w:pPr>
          </w:p>
        </w:tc>
        <w:tc>
          <w:tcPr>
            <w:tcW w:w="1320" w:type="dxa"/>
            <w:vAlign w:val="center"/>
          </w:tcPr>
          <w:p w14:paraId="61D6A27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22385C7">
            <w:pPr>
              <w:widowControl/>
              <w:spacing w:after="78" w:line="360" w:lineRule="atLeast"/>
              <w:jc w:val="center"/>
              <w:rPr>
                <w:rFonts w:hint="eastAsia" w:ascii="仿宋" w:hAnsi="仿宋" w:eastAsia="仿宋" w:cs="仿宋"/>
                <w:sz w:val="24"/>
                <w:szCs w:val="20"/>
              </w:rPr>
            </w:pPr>
          </w:p>
        </w:tc>
      </w:tr>
      <w:tr w14:paraId="755787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6A4142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4AD470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668AE874">
            <w:pPr>
              <w:widowControl/>
              <w:spacing w:after="78" w:line="360" w:lineRule="atLeast"/>
              <w:jc w:val="center"/>
              <w:rPr>
                <w:rFonts w:hint="eastAsia" w:ascii="仿宋" w:hAnsi="仿宋" w:eastAsia="仿宋" w:cs="仿宋"/>
                <w:sz w:val="24"/>
                <w:szCs w:val="20"/>
              </w:rPr>
            </w:pPr>
          </w:p>
        </w:tc>
        <w:tc>
          <w:tcPr>
            <w:tcW w:w="1320" w:type="dxa"/>
            <w:vAlign w:val="center"/>
          </w:tcPr>
          <w:p w14:paraId="7A048F3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1BF73276">
            <w:pPr>
              <w:widowControl/>
              <w:spacing w:after="78" w:line="360" w:lineRule="atLeast"/>
              <w:jc w:val="center"/>
              <w:rPr>
                <w:rFonts w:hint="eastAsia" w:ascii="仿宋" w:hAnsi="仿宋" w:eastAsia="仿宋" w:cs="仿宋"/>
                <w:sz w:val="24"/>
                <w:szCs w:val="20"/>
              </w:rPr>
            </w:pPr>
          </w:p>
        </w:tc>
      </w:tr>
      <w:tr w14:paraId="71BDC3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9F7E5E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763C3D1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0016C16">
            <w:pPr>
              <w:widowControl/>
              <w:spacing w:after="78" w:line="360" w:lineRule="atLeast"/>
              <w:jc w:val="center"/>
              <w:rPr>
                <w:rFonts w:hint="eastAsia" w:ascii="仿宋" w:hAnsi="仿宋" w:eastAsia="仿宋" w:cs="仿宋"/>
                <w:sz w:val="24"/>
                <w:szCs w:val="20"/>
              </w:rPr>
            </w:pPr>
          </w:p>
        </w:tc>
        <w:tc>
          <w:tcPr>
            <w:tcW w:w="850" w:type="dxa"/>
            <w:vAlign w:val="center"/>
          </w:tcPr>
          <w:p w14:paraId="519C46D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7357289B">
            <w:pPr>
              <w:widowControl/>
              <w:spacing w:after="78" w:line="360" w:lineRule="atLeast"/>
              <w:jc w:val="center"/>
              <w:rPr>
                <w:rFonts w:hint="eastAsia" w:ascii="仿宋" w:hAnsi="仿宋" w:eastAsia="仿宋" w:cs="仿宋"/>
                <w:sz w:val="24"/>
                <w:szCs w:val="20"/>
              </w:rPr>
            </w:pPr>
          </w:p>
        </w:tc>
      </w:tr>
      <w:tr w14:paraId="6D2B1C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17FB8BF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28364958">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45A8860B">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2C3D9A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9DE1B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48C615EB">
            <w:pPr>
              <w:spacing w:after="78" w:line="360" w:lineRule="atLeast"/>
              <w:jc w:val="center"/>
              <w:rPr>
                <w:rFonts w:hint="eastAsia" w:ascii="仿宋" w:hAnsi="仿宋" w:eastAsia="仿宋" w:cs="仿宋"/>
                <w:sz w:val="24"/>
                <w:szCs w:val="20"/>
              </w:rPr>
            </w:pPr>
          </w:p>
          <w:p w14:paraId="7243C085">
            <w:pPr>
              <w:widowControl/>
              <w:spacing w:after="78" w:line="360" w:lineRule="atLeast"/>
              <w:jc w:val="center"/>
              <w:rPr>
                <w:rFonts w:hint="eastAsia" w:ascii="仿宋" w:hAnsi="仿宋" w:eastAsia="仿宋" w:cs="仿宋"/>
                <w:sz w:val="24"/>
                <w:szCs w:val="20"/>
              </w:rPr>
            </w:pPr>
          </w:p>
        </w:tc>
      </w:tr>
      <w:tr w14:paraId="3B33D4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260587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552E9D41">
            <w:pPr>
              <w:spacing w:after="78" w:line="360" w:lineRule="atLeast"/>
              <w:jc w:val="center"/>
              <w:rPr>
                <w:rFonts w:hint="eastAsia" w:ascii="仿宋" w:hAnsi="仿宋" w:eastAsia="仿宋" w:cs="仿宋"/>
                <w:sz w:val="24"/>
                <w:szCs w:val="20"/>
              </w:rPr>
            </w:pPr>
          </w:p>
          <w:p w14:paraId="7853A026">
            <w:pPr>
              <w:widowControl/>
              <w:spacing w:after="78" w:line="360" w:lineRule="atLeast"/>
              <w:jc w:val="center"/>
              <w:rPr>
                <w:rFonts w:hint="eastAsia" w:ascii="仿宋" w:hAnsi="仿宋" w:eastAsia="仿宋" w:cs="仿宋"/>
                <w:sz w:val="24"/>
                <w:szCs w:val="20"/>
              </w:rPr>
            </w:pPr>
          </w:p>
        </w:tc>
      </w:tr>
      <w:tr w14:paraId="6CB26F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4E65848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279A7CCC">
            <w:pPr>
              <w:widowControl/>
              <w:spacing w:after="78" w:line="360" w:lineRule="atLeast"/>
              <w:jc w:val="center"/>
              <w:rPr>
                <w:rFonts w:hint="eastAsia" w:ascii="仿宋" w:hAnsi="仿宋" w:eastAsia="仿宋" w:cs="仿宋"/>
                <w:sz w:val="24"/>
                <w:szCs w:val="20"/>
              </w:rPr>
            </w:pPr>
          </w:p>
        </w:tc>
      </w:tr>
      <w:tr w14:paraId="39DDF5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1474452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B8EA1B2">
            <w:pPr>
              <w:widowControl/>
              <w:spacing w:after="78" w:line="360" w:lineRule="atLeast"/>
              <w:jc w:val="center"/>
              <w:rPr>
                <w:rFonts w:hint="eastAsia" w:ascii="仿宋" w:hAnsi="仿宋" w:eastAsia="仿宋" w:cs="仿宋"/>
                <w:sz w:val="24"/>
                <w:szCs w:val="20"/>
              </w:rPr>
            </w:pPr>
          </w:p>
        </w:tc>
      </w:tr>
      <w:tr w14:paraId="5D0A9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30E768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2CE4B543">
            <w:pPr>
              <w:widowControl/>
              <w:spacing w:after="78" w:line="360" w:lineRule="atLeast"/>
              <w:jc w:val="center"/>
              <w:rPr>
                <w:rFonts w:hint="eastAsia" w:ascii="仿宋" w:hAnsi="仿宋" w:eastAsia="仿宋" w:cs="仿宋"/>
                <w:sz w:val="24"/>
                <w:szCs w:val="20"/>
              </w:rPr>
            </w:pPr>
          </w:p>
        </w:tc>
      </w:tr>
      <w:tr w14:paraId="08BA5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7B5BB3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80D7E7E">
            <w:pPr>
              <w:widowControl/>
              <w:spacing w:after="78" w:line="360" w:lineRule="atLeast"/>
              <w:jc w:val="center"/>
              <w:rPr>
                <w:rFonts w:hint="eastAsia" w:ascii="仿宋" w:hAnsi="仿宋" w:eastAsia="仿宋" w:cs="仿宋"/>
                <w:sz w:val="24"/>
                <w:szCs w:val="20"/>
              </w:rPr>
            </w:pPr>
          </w:p>
        </w:tc>
      </w:tr>
    </w:tbl>
    <w:p w14:paraId="6EECC7B2">
      <w:pPr>
        <w:tabs>
          <w:tab w:val="left" w:pos="630"/>
        </w:tabs>
        <w:spacing w:after="78" w:line="276" w:lineRule="auto"/>
        <w:rPr>
          <w:rFonts w:hint="eastAsia" w:ascii="仿宋" w:hAnsi="仿宋" w:eastAsia="仿宋"/>
          <w:kern w:val="0"/>
          <w:szCs w:val="21"/>
        </w:rPr>
      </w:pPr>
    </w:p>
    <w:p w14:paraId="0CB5FB77">
      <w:pPr>
        <w:spacing w:after="78"/>
        <w:rPr>
          <w:rFonts w:ascii="Times New Roman" w:hAnsi="Times New Roman" w:eastAsia="仿宋"/>
          <w:szCs w:val="21"/>
        </w:rPr>
      </w:pPr>
      <w:r>
        <w:rPr>
          <w:rFonts w:ascii="Times New Roman" w:hAnsi="Times New Roman" w:eastAsia="仿宋"/>
          <w:szCs w:val="21"/>
        </w:rPr>
        <w:br w:type="page"/>
      </w:r>
    </w:p>
    <w:p w14:paraId="3C7CCB30">
      <w:pPr>
        <w:snapToGrid w:val="0"/>
        <w:spacing w:afterLines="0" w:line="360" w:lineRule="auto"/>
        <w:ind w:firstLine="525" w:firstLineChars="250"/>
        <w:jc w:val="right"/>
        <w:rPr>
          <w:rFonts w:ascii="Times New Roman" w:hAnsi="Times New Roman" w:eastAsia="仿宋" w:cs="Arial"/>
        </w:rPr>
      </w:pPr>
    </w:p>
    <w:p w14:paraId="1A8BCACE">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资质文件</w:t>
      </w:r>
    </w:p>
    <w:p w14:paraId="7FEFF68E">
      <w:pPr>
        <w:pStyle w:val="5"/>
        <w:adjustRightInd w:val="0"/>
        <w:spacing w:before="156" w:beforeLines="50" w:after="156" w:afterLines="50" w:line="415" w:lineRule="auto"/>
        <w:ind w:left="900" w:hanging="900"/>
        <w:jc w:val="center"/>
        <w:rPr>
          <w:rFonts w:ascii="Times New Roman" w:hAnsi="Times New Roman" w:eastAsia="仿宋" w:cs="宋体"/>
          <w:b w:val="0"/>
          <w:color w:val="000000"/>
          <w:sz w:val="24"/>
          <w:szCs w:val="21"/>
        </w:rPr>
      </w:pPr>
      <w:r>
        <w:rPr>
          <w:rFonts w:hint="eastAsia" w:ascii="Times New Roman" w:hAnsi="Times New Roman" w:eastAsia="仿宋" w:cs="宋体"/>
          <w:b w:val="0"/>
          <w:color w:val="000000"/>
          <w:sz w:val="24"/>
          <w:szCs w:val="21"/>
        </w:rPr>
        <w:t>承诺函</w:t>
      </w:r>
    </w:p>
    <w:p w14:paraId="33D2AEDB">
      <w:pPr>
        <w:tabs>
          <w:tab w:val="left" w:pos="630"/>
        </w:tabs>
        <w:spacing w:after="78" w:line="276" w:lineRule="auto"/>
        <w:rPr>
          <w:rFonts w:ascii="Times New Roman" w:hAnsi="Times New Roman" w:eastAsia="仿宋"/>
          <w:color w:val="000000"/>
          <w:szCs w:val="21"/>
        </w:rPr>
      </w:pPr>
      <w:r>
        <w:rPr>
          <w:rFonts w:hint="eastAsia" w:ascii="Times New Roman" w:hAnsi="Times New Roman" w:eastAsia="仿宋"/>
          <w:color w:val="000000"/>
          <w:kern w:val="0"/>
          <w:szCs w:val="21"/>
        </w:rPr>
        <w:t>深圳市深水水务咨询有限公司</w:t>
      </w:r>
      <w:r>
        <w:rPr>
          <w:rFonts w:ascii="Times New Roman" w:hAnsi="Times New Roman" w:eastAsia="仿宋"/>
          <w:color w:val="000000"/>
          <w:szCs w:val="21"/>
        </w:rPr>
        <w:t>：</w:t>
      </w:r>
    </w:p>
    <w:p w14:paraId="348AD868">
      <w:pPr>
        <w:spacing w:after="78" w:line="276" w:lineRule="auto"/>
        <w:ind w:firstLine="560"/>
        <w:rPr>
          <w:rFonts w:ascii="Times New Roman" w:hAnsi="Times New Roman" w:eastAsia="仿宋"/>
          <w:szCs w:val="21"/>
        </w:rPr>
      </w:pPr>
      <w:r>
        <w:rPr>
          <w:rFonts w:ascii="Times New Roman" w:hAnsi="Times New Roman" w:eastAsia="仿宋"/>
          <w:color w:val="000000"/>
          <w:szCs w:val="21"/>
        </w:rPr>
        <w:t>根据贵方关于</w:t>
      </w:r>
      <w:r>
        <w:rPr>
          <w:rFonts w:hint="eastAsia" w:ascii="Times New Roman" w:hAnsi="Times New Roman" w:eastAsia="仿宋"/>
          <w:color w:val="000000"/>
          <w:szCs w:val="21"/>
          <w:u w:val="single"/>
        </w:rPr>
        <w:t xml:space="preserve">   </w:t>
      </w:r>
      <w:r>
        <w:rPr>
          <w:rFonts w:hint="eastAsia" w:ascii="Times New Roman" w:hAnsi="Times New Roman" w:eastAsia="仿宋"/>
          <w:bCs/>
          <w:color w:val="000000"/>
          <w:szCs w:val="21"/>
          <w:u w:val="single"/>
        </w:rPr>
        <w:t xml:space="preserve">危险废物（液）处理处置服务集中采购项目   </w:t>
      </w:r>
      <w:r>
        <w:rPr>
          <w:rFonts w:ascii="Times New Roman" w:hAnsi="Times New Roman" w:eastAsia="仿宋"/>
          <w:color w:val="000000"/>
          <w:szCs w:val="21"/>
        </w:rPr>
        <w:t>的</w:t>
      </w:r>
      <w:r>
        <w:rPr>
          <w:rFonts w:hint="eastAsia" w:ascii="Times New Roman" w:hAnsi="Times New Roman" w:eastAsia="仿宋"/>
          <w:color w:val="000000"/>
          <w:szCs w:val="21"/>
        </w:rPr>
        <w:t>询价</w:t>
      </w:r>
      <w:r>
        <w:rPr>
          <w:rFonts w:ascii="Times New Roman" w:hAnsi="Times New Roman" w:eastAsia="仿宋"/>
          <w:color w:val="000000"/>
          <w:szCs w:val="21"/>
        </w:rPr>
        <w:t>文件的要求，我单位正式参加贵方组织的</w:t>
      </w:r>
      <w:r>
        <w:rPr>
          <w:rFonts w:hint="eastAsia" w:ascii="Times New Roman" w:hAnsi="Times New Roman" w:eastAsia="仿宋"/>
          <w:color w:val="000000"/>
          <w:szCs w:val="21"/>
          <w:u w:val="single"/>
        </w:rPr>
        <w:t>危险废物（液）处理处置服务集中采购项目</w:t>
      </w:r>
      <w:r>
        <w:rPr>
          <w:rFonts w:hint="eastAsia" w:ascii="Times New Roman" w:hAnsi="Times New Roman" w:eastAsia="仿宋"/>
          <w:bCs/>
          <w:color w:val="000000"/>
          <w:szCs w:val="21"/>
        </w:rPr>
        <w:t>报价</w:t>
      </w:r>
      <w:r>
        <w:rPr>
          <w:rFonts w:ascii="Times New Roman" w:hAnsi="Times New Roman" w:eastAsia="仿宋"/>
          <w:color w:val="000000"/>
          <w:szCs w:val="21"/>
        </w:rPr>
        <w:t>，作出以下承诺：</w:t>
      </w:r>
    </w:p>
    <w:p w14:paraId="4D9CE73F">
      <w:pPr>
        <w:pStyle w:val="63"/>
        <w:numPr>
          <w:ilvl w:val="0"/>
          <w:numId w:val="4"/>
        </w:numPr>
        <w:spacing w:line="276" w:lineRule="auto"/>
        <w:ind w:firstLine="422" w:firstLineChars="200"/>
        <w:jc w:val="both"/>
        <w:rPr>
          <w:rFonts w:ascii="Times New Roman" w:hAnsi="Times New Roman" w:eastAsia="仿宋" w:cs="Times New Roman"/>
          <w:b w:val="0"/>
          <w:kern w:val="2"/>
          <w:sz w:val="21"/>
          <w:szCs w:val="21"/>
        </w:rPr>
      </w:pPr>
      <w:r>
        <w:rPr>
          <w:rFonts w:hint="eastAsia" w:ascii="Times New Roman" w:hAnsi="Times New Roman" w:eastAsia="仿宋" w:cs="Times New Roman"/>
          <w:bCs/>
          <w:kern w:val="2"/>
          <w:sz w:val="21"/>
          <w:szCs w:val="21"/>
        </w:rPr>
        <w:t>参选承诺</w:t>
      </w:r>
      <w:r>
        <w:rPr>
          <w:rFonts w:hint="eastAsia" w:ascii="Times New Roman" w:hAnsi="Times New Roman" w:eastAsia="仿宋" w:cs="Times New Roman"/>
          <w:b w:val="0"/>
          <w:kern w:val="2"/>
          <w:sz w:val="21"/>
          <w:szCs w:val="21"/>
        </w:rPr>
        <w:t>：</w:t>
      </w:r>
    </w:p>
    <w:p w14:paraId="17603115">
      <w:pPr>
        <w:pStyle w:val="63"/>
        <w:spacing w:line="276" w:lineRule="auto"/>
        <w:ind w:firstLine="420" w:firstLineChars="200"/>
        <w:jc w:val="both"/>
        <w:rPr>
          <w:rFonts w:ascii="Times New Roman" w:hAnsi="Times New Roman" w:eastAsia="仿宋" w:cs="Times New Roman"/>
          <w:b w:val="0"/>
          <w:kern w:val="2"/>
          <w:sz w:val="21"/>
          <w:szCs w:val="21"/>
        </w:rPr>
      </w:pPr>
      <w:r>
        <w:rPr>
          <w:rFonts w:ascii="Times New Roman" w:hAnsi="Times New Roman" w:eastAsia="仿宋" w:cs="Times New Roman"/>
          <w:b w:val="0"/>
          <w:kern w:val="2"/>
          <w:sz w:val="21"/>
          <w:szCs w:val="21"/>
        </w:rPr>
        <w:t>1.提交的所有文件、资格、证明、陈述、数据均是真实的和准确的。若存在任何与提供的资料不符的情况，我公司愿为由此产生的一切后果负责。</w:t>
      </w:r>
    </w:p>
    <w:p w14:paraId="6047BA42">
      <w:pPr>
        <w:tabs>
          <w:tab w:val="left" w:pos="945"/>
          <w:tab w:val="left" w:pos="126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2.我公司完全满足</w:t>
      </w:r>
      <w:r>
        <w:rPr>
          <w:rFonts w:hint="eastAsia" w:ascii="Times New Roman" w:hAnsi="Times New Roman" w:eastAsia="仿宋"/>
          <w:color w:val="000000"/>
          <w:szCs w:val="21"/>
        </w:rPr>
        <w:t>询价公告</w:t>
      </w:r>
      <w:r>
        <w:rPr>
          <w:rFonts w:ascii="Times New Roman" w:hAnsi="Times New Roman" w:eastAsia="仿宋"/>
          <w:color w:val="000000"/>
          <w:szCs w:val="21"/>
        </w:rPr>
        <w:t>中全部实质性要求，响应贵司在</w:t>
      </w:r>
      <w:r>
        <w:rPr>
          <w:rFonts w:hint="eastAsia" w:ascii="Times New Roman" w:hAnsi="Times New Roman" w:eastAsia="仿宋"/>
          <w:color w:val="000000"/>
          <w:szCs w:val="21"/>
        </w:rPr>
        <w:t>询价</w:t>
      </w:r>
      <w:r>
        <w:rPr>
          <w:rFonts w:ascii="Times New Roman" w:hAnsi="Times New Roman" w:eastAsia="仿宋"/>
          <w:color w:val="000000"/>
          <w:szCs w:val="21"/>
        </w:rPr>
        <w:t>公告中提出的各项要求。</w:t>
      </w:r>
    </w:p>
    <w:p w14:paraId="3AC168B1">
      <w:pPr>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3.保证遵守</w:t>
      </w:r>
      <w:r>
        <w:rPr>
          <w:rFonts w:hint="eastAsia" w:ascii="Times New Roman" w:hAnsi="Times New Roman" w:eastAsia="仿宋"/>
          <w:color w:val="000000"/>
          <w:szCs w:val="21"/>
        </w:rPr>
        <w:t>询价</w:t>
      </w:r>
      <w:r>
        <w:rPr>
          <w:rFonts w:ascii="Times New Roman" w:hAnsi="Times New Roman" w:eastAsia="仿宋"/>
          <w:color w:val="000000"/>
          <w:szCs w:val="21"/>
        </w:rPr>
        <w:t>公告中的有关规定，保证忠实地执行双方所签署的经济合同，并承担合同规定的责任义务。</w:t>
      </w:r>
    </w:p>
    <w:p w14:paraId="28DA2BAA">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4.愿意向贵方提供任何与该项目报价有关的数据、情况和技术资料。</w:t>
      </w:r>
    </w:p>
    <w:p w14:paraId="54C9D8AC">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5.我们已详细审核全部</w:t>
      </w:r>
      <w:r>
        <w:rPr>
          <w:rFonts w:hint="eastAsia" w:ascii="Times New Roman" w:hAnsi="Times New Roman" w:eastAsia="仿宋"/>
          <w:color w:val="000000"/>
          <w:szCs w:val="21"/>
        </w:rPr>
        <w:t>询价</w:t>
      </w:r>
      <w:r>
        <w:rPr>
          <w:rFonts w:ascii="Times New Roman" w:hAnsi="Times New Roman" w:eastAsia="仿宋"/>
          <w:color w:val="000000"/>
          <w:szCs w:val="21"/>
        </w:rPr>
        <w:t>公告、</w:t>
      </w:r>
      <w:r>
        <w:rPr>
          <w:rFonts w:hint="eastAsia" w:ascii="Times New Roman" w:hAnsi="Times New Roman" w:eastAsia="仿宋"/>
          <w:color w:val="000000"/>
          <w:szCs w:val="21"/>
        </w:rPr>
        <w:t>报价文件</w:t>
      </w:r>
      <w:r>
        <w:rPr>
          <w:rFonts w:ascii="Times New Roman" w:hAnsi="Times New Roman" w:eastAsia="仿宋"/>
          <w:color w:val="000000"/>
          <w:szCs w:val="21"/>
        </w:rPr>
        <w:t>，我们知道必须放弃提出含糊不清或误解问题的权利。</w:t>
      </w:r>
    </w:p>
    <w:p w14:paraId="5E8A1600">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6.我们完全理解贵方不一定接受最低报价或收到的任何报价。</w:t>
      </w:r>
    </w:p>
    <w:p w14:paraId="727ADDD5">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7.我公司承诺不将本项目转包或分包给其他任何机构。</w:t>
      </w:r>
    </w:p>
    <w:p w14:paraId="6E9D1A6E">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8.我公司承诺符合以下要求：</w:t>
      </w:r>
      <w:r>
        <w:rPr>
          <w:rFonts w:hint="eastAsia" w:ascii="Times New Roman" w:hAnsi="Times New Roman" w:eastAsia="仿宋"/>
          <w:szCs w:val="21"/>
        </w:rPr>
        <w:t xml:space="preserve"> </w:t>
      </w:r>
    </w:p>
    <w:p w14:paraId="1C0BD716">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（1）具有良好的商业信誉、未被列入工商系统经营异常名录或严重违法失信企业名单，未被列入人民法院公布的失信被执行人名单；</w:t>
      </w:r>
    </w:p>
    <w:p w14:paraId="0D473AD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（2）近一年内或成立至今（成立不足一年的单位）财务状况无亏损或净资产大于0；</w:t>
      </w:r>
    </w:p>
    <w:p w14:paraId="00A9076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（3）近两年内（2023年8月至今）或成立至今（成立不足两年的单位）至少具备一项正在实施或已完成的类似业绩；</w:t>
      </w:r>
    </w:p>
    <w:p w14:paraId="6F8D9DDB">
      <w:pPr>
        <w:widowControl/>
        <w:tabs>
          <w:tab w:val="left" w:pos="1110"/>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不存在与单位负责人为同一人或者存在直接控股、管理关系的其他供应商参与同一合同项下的采购活动的行为</w:t>
      </w:r>
      <w:r>
        <w:rPr>
          <w:rFonts w:hint="eastAsia" w:ascii="Times New Roman" w:hAnsi="Times New Roman" w:eastAsia="仿宋"/>
          <w:szCs w:val="21"/>
        </w:rPr>
        <w:t>。</w:t>
      </w:r>
    </w:p>
    <w:p w14:paraId="26EDD78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0D72AD9D">
      <w:pPr>
        <w:pStyle w:val="63"/>
        <w:numPr>
          <w:ilvl w:val="0"/>
          <w:numId w:val="4"/>
        </w:numPr>
        <w:spacing w:line="276" w:lineRule="auto"/>
        <w:ind w:firstLine="422" w:firstLineChars="200"/>
        <w:jc w:val="both"/>
        <w:rPr>
          <w:rFonts w:ascii="Times New Roman" w:hAnsi="Times New Roman" w:eastAsia="仿宋" w:cs="Times New Roman"/>
          <w:bCs/>
          <w:kern w:val="2"/>
          <w:sz w:val="21"/>
          <w:szCs w:val="21"/>
        </w:rPr>
      </w:pPr>
      <w:r>
        <w:rPr>
          <w:rFonts w:hint="eastAsia" w:ascii="Times New Roman" w:hAnsi="Times New Roman" w:eastAsia="仿宋" w:cs="Times New Roman"/>
          <w:bCs/>
          <w:kern w:val="2"/>
          <w:sz w:val="21"/>
          <w:szCs w:val="21"/>
        </w:rPr>
        <w:t>廉洁承诺：</w:t>
      </w:r>
    </w:p>
    <w:p w14:paraId="037B29C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rPr>
        <w:t>保险集中采购项目</w:t>
      </w:r>
      <w:r>
        <w:rPr>
          <w:rFonts w:ascii="仿宋" w:hAnsi="仿宋" w:eastAsia="仿宋"/>
          <w:szCs w:val="21"/>
        </w:rPr>
        <w:t>选聘，特承诺如下：</w:t>
      </w:r>
    </w:p>
    <w:p w14:paraId="26FE13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C4C6F4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B55016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722CE5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D51B85D">
      <w:pPr>
        <w:tabs>
          <w:tab w:val="left" w:pos="1110"/>
        </w:tabs>
        <w:spacing w:after="78" w:line="276" w:lineRule="auto"/>
        <w:ind w:firstLine="420" w:firstLineChars="200"/>
        <w:rPr>
          <w:rFonts w:hint="eastAsia" w:ascii="仿宋" w:hAnsi="仿宋" w:eastAsia="仿宋"/>
          <w:color w:val="000000"/>
          <w:szCs w:val="21"/>
        </w:rPr>
      </w:pPr>
    </w:p>
    <w:p w14:paraId="431AB7CE">
      <w:pPr>
        <w:tabs>
          <w:tab w:val="left" w:pos="1110"/>
        </w:tabs>
        <w:spacing w:after="78" w:line="276" w:lineRule="auto"/>
        <w:ind w:firstLine="420" w:firstLineChars="200"/>
        <w:rPr>
          <w:rFonts w:ascii="Times New Roman" w:hAnsi="Times New Roman" w:eastAsia="仿宋"/>
          <w:color w:val="000000"/>
          <w:szCs w:val="21"/>
        </w:rPr>
      </w:pPr>
    </w:p>
    <w:p w14:paraId="730A2297">
      <w:pPr>
        <w:spacing w:after="78" w:line="276" w:lineRule="auto"/>
        <w:ind w:left="525"/>
        <w:rPr>
          <w:rFonts w:ascii="Times New Roman" w:hAnsi="Times New Roman" w:eastAsia="仿宋"/>
          <w:color w:val="000000"/>
          <w:szCs w:val="21"/>
        </w:rPr>
      </w:pPr>
      <w:r>
        <w:rPr>
          <w:rFonts w:ascii="Times New Roman" w:hAnsi="Times New Roman" w:eastAsia="仿宋"/>
          <w:color w:val="000000"/>
          <w:szCs w:val="21"/>
        </w:rPr>
        <w:t>参选单位：</w:t>
      </w:r>
      <w:r>
        <w:rPr>
          <w:rFonts w:ascii="Times New Roman" w:hAnsi="Times New Roman" w:eastAsia="仿宋"/>
          <w:szCs w:val="21"/>
          <w:u w:val="single"/>
        </w:rPr>
        <w:t>（盖</w:t>
      </w:r>
      <w:r>
        <w:rPr>
          <w:rFonts w:hint="eastAsia" w:ascii="Times New Roman" w:hAnsi="Times New Roman" w:eastAsia="仿宋"/>
          <w:szCs w:val="21"/>
          <w:u w:val="single"/>
        </w:rPr>
        <w:t>章</w:t>
      </w:r>
      <w:r>
        <w:rPr>
          <w:rFonts w:ascii="Times New Roman" w:hAnsi="Times New Roman" w:eastAsia="仿宋"/>
          <w:szCs w:val="21"/>
          <w:u w:val="single"/>
        </w:rPr>
        <w:t>）</w:t>
      </w:r>
    </w:p>
    <w:p w14:paraId="66DDE301">
      <w:pPr>
        <w:spacing w:after="78" w:line="276" w:lineRule="auto"/>
        <w:ind w:firstLine="630" w:firstLineChars="300"/>
        <w:rPr>
          <w:rFonts w:ascii="Times New Roman" w:hAnsi="Times New Roman" w:eastAsia="仿宋"/>
          <w:b/>
          <w:szCs w:val="21"/>
        </w:rPr>
      </w:pPr>
      <w:r>
        <w:rPr>
          <w:rFonts w:ascii="Times New Roman" w:hAnsi="Times New Roman" w:eastAsia="仿宋"/>
          <w:color w:val="000000"/>
          <w:szCs w:val="21"/>
        </w:rPr>
        <w:t>年    月    日</w:t>
      </w:r>
    </w:p>
    <w:p w14:paraId="695A89C8">
      <w:pPr>
        <w:spacing w:after="78" w:line="288" w:lineRule="auto"/>
        <w:rPr>
          <w:rFonts w:ascii="Times New Roman" w:hAnsi="Times New Roman" w:eastAsia="仿宋"/>
          <w:b/>
          <w:szCs w:val="21"/>
        </w:rPr>
      </w:pPr>
    </w:p>
    <w:p w14:paraId="5164B77D">
      <w:pPr>
        <w:spacing w:after="78" w:line="288" w:lineRule="auto"/>
        <w:rPr>
          <w:rFonts w:ascii="Times New Roman" w:hAnsi="Times New Roman" w:eastAsia="仿宋"/>
          <w:b/>
          <w:szCs w:val="21"/>
        </w:rPr>
      </w:pPr>
      <w:r>
        <w:rPr>
          <w:rFonts w:ascii="Times New Roman" w:hAnsi="Times New Roman" w:eastAsia="仿宋"/>
          <w:b/>
          <w:szCs w:val="21"/>
        </w:rPr>
        <w:br w:type="page"/>
      </w:r>
    </w:p>
    <w:p w14:paraId="1FE01D97">
      <w:pPr>
        <w:pStyle w:val="5"/>
        <w:adjustRightInd w:val="0"/>
        <w:spacing w:before="240" w:after="120" w:afterLines="0" w:line="400" w:lineRule="exact"/>
        <w:rPr>
          <w:rFonts w:ascii="Calibri" w:hAnsi="Calibri" w:eastAsia="仿宋"/>
          <w:sz w:val="24"/>
          <w:szCs w:val="22"/>
        </w:rPr>
      </w:pPr>
      <w:bookmarkStart w:id="12" w:name="_Hlk180658069"/>
      <w:r>
        <w:rPr>
          <w:rFonts w:hint="eastAsia" w:ascii="Calibri" w:hAnsi="Calibri" w:eastAsia="仿宋"/>
          <w:sz w:val="24"/>
          <w:szCs w:val="22"/>
        </w:rPr>
        <w:t>营业执照（需盖章）</w:t>
      </w:r>
    </w:p>
    <w:p w14:paraId="73DBE1E6">
      <w:pPr>
        <w:tabs>
          <w:tab w:val="left" w:pos="1110"/>
        </w:tabs>
        <w:spacing w:after="78" w:line="276" w:lineRule="auto"/>
        <w:ind w:firstLine="420" w:firstLineChars="200"/>
        <w:rPr>
          <w:rFonts w:ascii="Times New Roman" w:hAnsi="Times New Roman" w:eastAsia="仿宋" w:cs="宋体"/>
          <w:color w:val="000000"/>
          <w:sz w:val="24"/>
          <w:szCs w:val="21"/>
        </w:rPr>
      </w:pPr>
      <w:r>
        <w:rPr>
          <w:rFonts w:ascii="Times New Roman" w:hAnsi="Times New Roman" w:eastAsia="仿宋"/>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06BE1C9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iditpbQIAAOYEAAAOAAAAAAAAAAEAIAAAACIBAABkcnMvZTJvRG9jLnht&#10;bFBLBQYAAAAABgAGAFkBAAABBgAAAAA=&#10;">
                <v:fill on="t" focussize="0,0"/>
                <v:stroke weight="0.5pt" color="#000000" joinstyle="round"/>
                <v:imagedata o:title=""/>
                <o:lock v:ext="edit" aspectratio="f"/>
                <v:textbox>
                  <w:txbxContent>
                    <w:p w14:paraId="06BE1C98">
                      <w:pPr>
                        <w:spacing w:after="78"/>
                      </w:pPr>
                    </w:p>
                  </w:txbxContent>
                </v:textbox>
              </v:shape>
            </w:pict>
          </mc:Fallback>
        </mc:AlternateContent>
      </w:r>
    </w:p>
    <w:p w14:paraId="55762FA9">
      <w:pPr>
        <w:tabs>
          <w:tab w:val="left" w:pos="1110"/>
        </w:tabs>
        <w:spacing w:after="78" w:line="276" w:lineRule="auto"/>
        <w:ind w:firstLine="480" w:firstLineChars="200"/>
        <w:rPr>
          <w:rFonts w:ascii="Times New Roman" w:hAnsi="Times New Roman" w:eastAsia="仿宋" w:cs="宋体"/>
          <w:color w:val="000000"/>
          <w:sz w:val="24"/>
          <w:szCs w:val="21"/>
        </w:rPr>
      </w:pPr>
    </w:p>
    <w:p w14:paraId="320F5105">
      <w:pPr>
        <w:tabs>
          <w:tab w:val="left" w:pos="1110"/>
        </w:tabs>
        <w:spacing w:after="78" w:line="276" w:lineRule="auto"/>
        <w:ind w:firstLine="480" w:firstLineChars="200"/>
        <w:rPr>
          <w:rFonts w:ascii="Times New Roman" w:hAnsi="Times New Roman" w:eastAsia="仿宋" w:cs="宋体"/>
          <w:color w:val="000000"/>
          <w:sz w:val="24"/>
          <w:szCs w:val="21"/>
        </w:rPr>
      </w:pPr>
    </w:p>
    <w:p w14:paraId="10A3F281">
      <w:pPr>
        <w:tabs>
          <w:tab w:val="left" w:pos="1110"/>
        </w:tabs>
        <w:spacing w:after="78" w:line="276" w:lineRule="auto"/>
        <w:ind w:firstLine="480" w:firstLineChars="200"/>
        <w:rPr>
          <w:rFonts w:ascii="Times New Roman" w:hAnsi="Times New Roman" w:eastAsia="仿宋" w:cs="宋体"/>
          <w:color w:val="000000"/>
          <w:sz w:val="24"/>
          <w:szCs w:val="21"/>
        </w:rPr>
      </w:pPr>
    </w:p>
    <w:p w14:paraId="7C9AEF7D">
      <w:pPr>
        <w:tabs>
          <w:tab w:val="left" w:pos="1110"/>
        </w:tabs>
        <w:spacing w:after="78" w:line="276" w:lineRule="auto"/>
        <w:ind w:firstLine="480" w:firstLineChars="200"/>
        <w:rPr>
          <w:rFonts w:ascii="Times New Roman" w:hAnsi="Times New Roman" w:eastAsia="仿宋" w:cs="宋体"/>
          <w:color w:val="000000"/>
          <w:sz w:val="24"/>
          <w:szCs w:val="21"/>
        </w:rPr>
      </w:pPr>
    </w:p>
    <w:p w14:paraId="5EE28A31">
      <w:pPr>
        <w:tabs>
          <w:tab w:val="left" w:pos="1110"/>
        </w:tabs>
        <w:spacing w:after="78" w:line="276" w:lineRule="auto"/>
        <w:ind w:firstLine="480" w:firstLineChars="200"/>
        <w:rPr>
          <w:rFonts w:ascii="Times New Roman" w:hAnsi="Times New Roman" w:eastAsia="仿宋" w:cs="宋体"/>
          <w:color w:val="000000"/>
          <w:sz w:val="24"/>
          <w:szCs w:val="21"/>
        </w:rPr>
      </w:pPr>
    </w:p>
    <w:p w14:paraId="33DC5657">
      <w:pPr>
        <w:tabs>
          <w:tab w:val="left" w:pos="1110"/>
        </w:tabs>
        <w:spacing w:after="78" w:line="276" w:lineRule="auto"/>
        <w:ind w:firstLine="480" w:firstLineChars="200"/>
        <w:rPr>
          <w:rFonts w:ascii="Times New Roman" w:hAnsi="Times New Roman" w:eastAsia="仿宋" w:cs="宋体"/>
          <w:color w:val="000000"/>
          <w:sz w:val="24"/>
          <w:szCs w:val="21"/>
        </w:rPr>
      </w:pPr>
    </w:p>
    <w:p w14:paraId="26E90799">
      <w:pPr>
        <w:tabs>
          <w:tab w:val="left" w:pos="1110"/>
        </w:tabs>
        <w:spacing w:after="78" w:line="276" w:lineRule="auto"/>
        <w:ind w:firstLine="480" w:firstLineChars="200"/>
        <w:rPr>
          <w:rFonts w:ascii="Times New Roman" w:hAnsi="Times New Roman" w:eastAsia="仿宋" w:cs="宋体"/>
          <w:color w:val="000000"/>
          <w:sz w:val="24"/>
          <w:szCs w:val="21"/>
        </w:rPr>
      </w:pPr>
    </w:p>
    <w:p w14:paraId="54D530B4">
      <w:pPr>
        <w:tabs>
          <w:tab w:val="left" w:pos="1110"/>
        </w:tabs>
        <w:spacing w:after="78" w:line="276" w:lineRule="auto"/>
        <w:ind w:firstLine="480" w:firstLineChars="200"/>
        <w:rPr>
          <w:rFonts w:ascii="Times New Roman" w:hAnsi="Times New Roman" w:eastAsia="仿宋" w:cs="宋体"/>
          <w:color w:val="000000"/>
          <w:sz w:val="24"/>
          <w:szCs w:val="21"/>
        </w:rPr>
      </w:pPr>
    </w:p>
    <w:p w14:paraId="11BA451B">
      <w:pPr>
        <w:tabs>
          <w:tab w:val="left" w:pos="1110"/>
        </w:tabs>
        <w:spacing w:after="78" w:line="276" w:lineRule="auto"/>
        <w:ind w:firstLine="480" w:firstLineChars="200"/>
        <w:rPr>
          <w:rFonts w:ascii="Times New Roman" w:hAnsi="Times New Roman" w:eastAsia="仿宋" w:cs="宋体"/>
          <w:color w:val="000000"/>
          <w:sz w:val="24"/>
          <w:szCs w:val="21"/>
        </w:rPr>
      </w:pPr>
    </w:p>
    <w:p w14:paraId="31F9DCE0">
      <w:pPr>
        <w:tabs>
          <w:tab w:val="left" w:pos="1110"/>
        </w:tabs>
        <w:spacing w:after="78" w:line="276" w:lineRule="auto"/>
        <w:ind w:firstLine="480" w:firstLineChars="200"/>
        <w:rPr>
          <w:rFonts w:ascii="Times New Roman" w:hAnsi="Times New Roman" w:eastAsia="仿宋" w:cs="宋体"/>
          <w:color w:val="000000"/>
          <w:sz w:val="24"/>
          <w:szCs w:val="21"/>
        </w:rPr>
      </w:pPr>
    </w:p>
    <w:p w14:paraId="599B3C77">
      <w:pPr>
        <w:tabs>
          <w:tab w:val="left" w:pos="1110"/>
        </w:tabs>
        <w:spacing w:after="78" w:line="276" w:lineRule="auto"/>
        <w:ind w:firstLine="480" w:firstLineChars="200"/>
        <w:rPr>
          <w:rFonts w:ascii="Times New Roman" w:hAnsi="Times New Roman" w:eastAsia="仿宋" w:cs="宋体"/>
          <w:color w:val="000000"/>
          <w:sz w:val="24"/>
          <w:szCs w:val="21"/>
        </w:rPr>
      </w:pPr>
    </w:p>
    <w:p w14:paraId="336B78D3">
      <w:pPr>
        <w:tabs>
          <w:tab w:val="left" w:pos="1110"/>
        </w:tabs>
        <w:spacing w:after="78" w:line="276" w:lineRule="auto"/>
        <w:ind w:firstLine="480" w:firstLineChars="200"/>
        <w:rPr>
          <w:rFonts w:ascii="Times New Roman" w:hAnsi="Times New Roman" w:eastAsia="仿宋" w:cs="宋体"/>
          <w:color w:val="000000"/>
          <w:sz w:val="24"/>
          <w:szCs w:val="21"/>
        </w:rPr>
      </w:pPr>
    </w:p>
    <w:bookmarkEnd w:id="12"/>
    <w:p w14:paraId="3D06F717">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350520</wp:posOffset>
                </wp:positionV>
                <wp:extent cx="5398135" cy="3700145"/>
                <wp:effectExtent l="4445" t="4445" r="7620" b="10160"/>
                <wp:wrapNone/>
                <wp:docPr id="7" name="文本框 7"/>
                <wp:cNvGraphicFramePr/>
                <a:graphic xmlns:a="http://schemas.openxmlformats.org/drawingml/2006/main">
                  <a:graphicData uri="http://schemas.microsoft.com/office/word/2010/wordprocessingShape">
                    <wps:wsp>
                      <wps:cNvSpPr txBox="1"/>
                      <wps:spPr>
                        <a:xfrm>
                          <a:off x="1153795" y="1264920"/>
                          <a:ext cx="5398135" cy="370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08C40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27.6pt;height:291.35pt;width:425.05pt;z-index:251660288;mso-width-relative:page;mso-height-relative:page;" fillcolor="#FFFFFF [3201]" filled="t" stroked="t" coordsize="21600,21600" o:gfxdata="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HzyVNUAAAAIAQAADwAAAAAAAAABACAAAAAiAAAAZHJzL2Rvd25yZXYueG1sUEsBAhQAFAAA&#10;AAgAh07iQEpk59tkAgAAxAQAAA4AAAAAAAAAAQAgAAAAJAEAAGRycy9lMm9Eb2MueG1sUEsFBgAA&#10;AAAGAAYAWQEAAPoFAAAAAA==&#10;">
                <v:fill on="t" focussize="0,0"/>
                <v:stroke weight="0.5pt" color="#000000 [3204]" joinstyle="round"/>
                <v:imagedata o:title=""/>
                <o:lock v:ext="edit" aspectratio="f"/>
                <v:textbox>
                  <w:txbxContent>
                    <w:p w14:paraId="4308C401">
                      <w:pPr>
                        <w:spacing w:after="78"/>
                      </w:pPr>
                    </w:p>
                  </w:txbxContent>
                </v:textbox>
              </v:shape>
            </w:pict>
          </mc:Fallback>
        </mc:AlternateContent>
      </w:r>
      <w:r>
        <w:rPr>
          <w:rFonts w:hint="eastAsia" w:ascii="Calibri" w:hAnsi="Calibri" w:eastAsia="仿宋"/>
          <w:sz w:val="24"/>
          <w:szCs w:val="22"/>
        </w:rPr>
        <w:t>危险废物经营许可证（需盖章）</w:t>
      </w:r>
    </w:p>
    <w:p w14:paraId="4F420F49">
      <w:pPr>
        <w:spacing w:after="78"/>
        <w:rPr>
          <w:rFonts w:ascii="Times New Roman" w:hAnsi="Times New Roman" w:eastAsia="仿宋"/>
        </w:rPr>
      </w:pPr>
      <w:r>
        <w:rPr>
          <w:rFonts w:ascii="Times New Roman" w:hAnsi="Times New Roman" w:eastAsia="仿宋"/>
        </w:rPr>
        <w:br w:type="page"/>
      </w:r>
    </w:p>
    <w:p w14:paraId="34514CDF">
      <w:pPr>
        <w:pStyle w:val="5"/>
        <w:adjustRightInd w:val="0"/>
        <w:spacing w:before="240" w:after="120" w:afterLines="0" w:line="400" w:lineRule="exact"/>
        <w:rPr>
          <w:rFonts w:ascii="Calibri" w:hAnsi="Calibri" w:eastAsia="仿宋"/>
          <w:sz w:val="24"/>
          <w:szCs w:val="22"/>
        </w:rPr>
      </w:pPr>
      <w:bookmarkStart w:id="13" w:name="_Toc133335897"/>
      <w:bookmarkStart w:id="14" w:name="_Toc116850266"/>
      <w:r>
        <w:rPr>
          <w:rFonts w:hint="eastAsia" w:ascii="Calibri" w:hAnsi="Calibri" w:eastAsia="仿宋"/>
          <w:sz w:val="24"/>
          <w:szCs w:val="22"/>
        </w:rPr>
        <w:t>危废处置单位的营业许可证、危废经营许可证、处置合同关键页（仅未能自行处置的危废种类需补充）（需盖章）</w:t>
      </w:r>
    </w:p>
    <w:p w14:paraId="2DFEC953">
      <w:pPr>
        <w:spacing w:after="78"/>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245745</wp:posOffset>
                </wp:positionV>
                <wp:extent cx="5151120" cy="3499485"/>
                <wp:effectExtent l="4445" t="4445" r="6985" b="20320"/>
                <wp:wrapNone/>
                <wp:docPr id="1" name="文本框 1"/>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5B37F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9.35pt;height:275.55pt;width:405.6pt;z-index:251661312;mso-width-relative:page;mso-height-relative:page;" fillcolor="#FFFFFF [3201]" filled="t" stroked="t" coordsize="21600,21600" o:gfxdata="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MB/qtUAAAAI&#10;AQAADwAAAAAAAAABACAAAAAiAAAAZHJzL2Rvd25yZXYueG1sUEsBAhQAFAAAAAgAh07iQCy38EJY&#10;AgAAuAQAAA4AAAAAAAAAAQAgAAAAJAEAAGRycy9lMm9Eb2MueG1sUEsFBgAAAAAGAAYAWQEAAO4F&#10;AAAAAA==&#10;">
                <v:fill on="t" focussize="0,0"/>
                <v:stroke weight="0.5pt" color="#000000 [3204]" joinstyle="round"/>
                <v:imagedata o:title=""/>
                <o:lock v:ext="edit" aspectratio="f"/>
                <v:textbox>
                  <w:txbxContent>
                    <w:p w14:paraId="315B37F9">
                      <w:pPr>
                        <w:spacing w:after="78"/>
                      </w:pPr>
                    </w:p>
                  </w:txbxContent>
                </v:textbox>
              </v:shape>
            </w:pict>
          </mc:Fallback>
        </mc:AlternateContent>
      </w:r>
    </w:p>
    <w:p w14:paraId="227E457A">
      <w:pPr>
        <w:spacing w:after="78"/>
        <w:rPr>
          <w:rFonts w:ascii="Times New Roman" w:hAnsi="Times New Roman" w:eastAsia="仿宋"/>
          <w:b/>
          <w:bCs/>
          <w:kern w:val="0"/>
          <w:sz w:val="24"/>
        </w:rPr>
      </w:pPr>
      <w:r>
        <w:rPr>
          <w:rFonts w:hint="eastAsia"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3816350</wp:posOffset>
                </wp:positionV>
                <wp:extent cx="5151120" cy="3499485"/>
                <wp:effectExtent l="4445" t="4445" r="6985" b="20320"/>
                <wp:wrapNone/>
                <wp:docPr id="2" name="文本框 2"/>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822BE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300.5pt;height:275.55pt;width:405.6pt;z-index:251662336;mso-width-relative:page;mso-height-relative:page;" fillcolor="#FFFFFF [3201]" filled="t" stroked="t" coordsize="21600,21600" o:gfxdata="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TQG33VAAAA&#10;CgEAAA8AAAAAAAAAAQAgAAAAIgAAAGRycy9kb3ducmV2LnhtbFBLAQIUABQAAAAIAIdO4kCaAhPT&#10;WQIAALgEAAAOAAAAAAAAAAEAIAAAACQBAABkcnMvZTJvRG9jLnhtbFBLBQYAAAAABgAGAFkBAADv&#10;BQAAAAA=&#10;">
                <v:fill on="t" focussize="0,0"/>
                <v:stroke weight="0.5pt" color="#000000 [3204]" joinstyle="round"/>
                <v:imagedata o:title=""/>
                <o:lock v:ext="edit" aspectratio="f"/>
                <v:textbox>
                  <w:txbxContent>
                    <w:p w14:paraId="0C822BEB">
                      <w:pPr>
                        <w:spacing w:after="78"/>
                      </w:pPr>
                    </w:p>
                  </w:txbxContent>
                </v:textbox>
              </v:shape>
            </w:pict>
          </mc:Fallback>
        </mc:AlternateContent>
      </w:r>
      <w:r>
        <w:rPr>
          <w:rFonts w:hint="eastAsia" w:ascii="Times New Roman" w:hAnsi="Times New Roman" w:eastAsia="仿宋"/>
          <w:b/>
          <w:bCs/>
          <w:kern w:val="0"/>
          <w:sz w:val="24"/>
        </w:rPr>
        <w:br w:type="page"/>
      </w:r>
    </w:p>
    <w:p w14:paraId="613C285E">
      <w:pPr>
        <w:spacing w:after="78"/>
        <w:rPr>
          <w:rFonts w:ascii="Times New Roman" w:hAnsi="Times New Roman" w:eastAsia="仿宋"/>
          <w:b/>
          <w:bCs/>
          <w:kern w:val="0"/>
          <w:sz w:val="24"/>
        </w:rPr>
      </w:pPr>
    </w:p>
    <w:p w14:paraId="5BE59030">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危险废物（液）处理处置服务集中采购项目</w:t>
      </w:r>
    </w:p>
    <w:p w14:paraId="10D96CD0">
      <w:pPr>
        <w:pStyle w:val="10"/>
        <w:jc w:val="center"/>
        <w:rPr>
          <w:rFonts w:ascii="Times New Roman" w:hAnsi="Times New Roman"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68"/>
        <w:gridCol w:w="1593"/>
        <w:gridCol w:w="753"/>
        <w:gridCol w:w="55"/>
        <w:gridCol w:w="941"/>
        <w:gridCol w:w="52"/>
        <w:gridCol w:w="1134"/>
        <w:gridCol w:w="1065"/>
        <w:gridCol w:w="1298"/>
      </w:tblGrid>
      <w:tr w14:paraId="0D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88" w:type="dxa"/>
            <w:vAlign w:val="center"/>
          </w:tcPr>
          <w:p w14:paraId="00302635">
            <w:pPr>
              <w:spacing w:afterLines="0" w:line="300" w:lineRule="exact"/>
              <w:jc w:val="center"/>
              <w:rPr>
                <w:rFonts w:ascii="Times New Roman" w:hAnsi="Times New Roman" w:eastAsia="仿宋"/>
                <w:szCs w:val="21"/>
              </w:rPr>
            </w:pPr>
            <w:r>
              <w:rPr>
                <w:rFonts w:hint="eastAsia" w:ascii="Times New Roman" w:hAnsi="Times New Roman" w:eastAsia="仿宋"/>
                <w:szCs w:val="21"/>
              </w:rPr>
              <w:t>报价内容</w:t>
            </w:r>
          </w:p>
        </w:tc>
        <w:tc>
          <w:tcPr>
            <w:tcW w:w="8459" w:type="dxa"/>
            <w:gridSpan w:val="9"/>
            <w:vAlign w:val="center"/>
          </w:tcPr>
          <w:p w14:paraId="52366D09">
            <w:pPr>
              <w:spacing w:afterLines="0" w:line="300" w:lineRule="exact"/>
              <w:jc w:val="center"/>
              <w:rPr>
                <w:rFonts w:ascii="Times New Roman" w:hAnsi="Times New Roman" w:eastAsia="仿宋"/>
                <w:b/>
                <w:szCs w:val="21"/>
              </w:rPr>
            </w:pPr>
            <w:r>
              <w:rPr>
                <w:rFonts w:hint="eastAsia" w:ascii="Times New Roman" w:hAnsi="Times New Roman" w:eastAsia="仿宋"/>
                <w:b/>
                <w:szCs w:val="21"/>
              </w:rPr>
              <w:t>危险废物（液）处理处置服务集中采购项目</w:t>
            </w:r>
          </w:p>
        </w:tc>
      </w:tr>
      <w:tr w14:paraId="7DF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14:paraId="18E64F66">
            <w:pPr>
              <w:spacing w:afterLines="0" w:line="300" w:lineRule="exact"/>
              <w:jc w:val="center"/>
              <w:rPr>
                <w:rFonts w:ascii="Times New Roman" w:hAnsi="Times New Roman" w:eastAsia="仿宋"/>
                <w:szCs w:val="21"/>
              </w:rPr>
            </w:pPr>
            <w:r>
              <w:rPr>
                <w:rFonts w:hint="eastAsia" w:ascii="Times New Roman" w:hAnsi="Times New Roman" w:eastAsia="仿宋"/>
                <w:szCs w:val="21"/>
              </w:rPr>
              <w:t>采购单位</w:t>
            </w:r>
          </w:p>
        </w:tc>
        <w:tc>
          <w:tcPr>
            <w:tcW w:w="3914" w:type="dxa"/>
            <w:gridSpan w:val="3"/>
            <w:vMerge w:val="restart"/>
            <w:vAlign w:val="center"/>
          </w:tcPr>
          <w:p w14:paraId="5680A903">
            <w:pPr>
              <w:spacing w:afterLines="0" w:line="300" w:lineRule="exact"/>
              <w:jc w:val="center"/>
              <w:rPr>
                <w:rFonts w:ascii="Times New Roman" w:hAnsi="Times New Roman" w:eastAsia="仿宋"/>
                <w:szCs w:val="21"/>
                <w:highlight w:val="yellow"/>
              </w:rPr>
            </w:pPr>
            <w:r>
              <w:rPr>
                <w:rFonts w:hint="eastAsia" w:ascii="Times New Roman" w:hAnsi="Times New Roman" w:eastAsia="仿宋"/>
                <w:szCs w:val="21"/>
              </w:rPr>
              <w:t>深圳市深水水务咨询有限公司</w:t>
            </w:r>
          </w:p>
        </w:tc>
        <w:tc>
          <w:tcPr>
            <w:tcW w:w="996" w:type="dxa"/>
            <w:gridSpan w:val="2"/>
            <w:vAlign w:val="center"/>
          </w:tcPr>
          <w:p w14:paraId="20E0B15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报价方</w:t>
            </w:r>
          </w:p>
        </w:tc>
        <w:tc>
          <w:tcPr>
            <w:tcW w:w="3549" w:type="dxa"/>
            <w:gridSpan w:val="4"/>
          </w:tcPr>
          <w:p w14:paraId="66FFCA2A">
            <w:pPr>
              <w:spacing w:afterLines="0"/>
              <w:jc w:val="center"/>
              <w:rPr>
                <w:rFonts w:ascii="Times New Roman" w:hAnsi="Times New Roman" w:eastAsia="仿宋"/>
                <w:szCs w:val="21"/>
              </w:rPr>
            </w:pPr>
          </w:p>
        </w:tc>
      </w:tr>
      <w:tr w14:paraId="1FC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vAlign w:val="center"/>
          </w:tcPr>
          <w:p w14:paraId="3A5A23A1">
            <w:pPr>
              <w:spacing w:afterLines="0" w:line="300" w:lineRule="exact"/>
              <w:jc w:val="center"/>
              <w:rPr>
                <w:rFonts w:ascii="Times New Roman" w:hAnsi="Times New Roman" w:eastAsia="仿宋"/>
                <w:szCs w:val="21"/>
              </w:rPr>
            </w:pPr>
          </w:p>
        </w:tc>
        <w:tc>
          <w:tcPr>
            <w:tcW w:w="3914" w:type="dxa"/>
            <w:gridSpan w:val="3"/>
            <w:vMerge w:val="continue"/>
            <w:vAlign w:val="center"/>
          </w:tcPr>
          <w:p w14:paraId="2F15990D">
            <w:pPr>
              <w:spacing w:afterLines="0" w:line="300" w:lineRule="exact"/>
              <w:jc w:val="center"/>
              <w:rPr>
                <w:rFonts w:ascii="Times New Roman" w:hAnsi="Times New Roman" w:eastAsia="仿宋"/>
                <w:szCs w:val="21"/>
              </w:rPr>
            </w:pPr>
          </w:p>
        </w:tc>
        <w:tc>
          <w:tcPr>
            <w:tcW w:w="996" w:type="dxa"/>
            <w:gridSpan w:val="2"/>
            <w:vAlign w:val="center"/>
          </w:tcPr>
          <w:p w14:paraId="6A9D5F16">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联系人</w:t>
            </w:r>
          </w:p>
        </w:tc>
        <w:tc>
          <w:tcPr>
            <w:tcW w:w="3549" w:type="dxa"/>
            <w:gridSpan w:val="4"/>
          </w:tcPr>
          <w:p w14:paraId="3255C741">
            <w:pPr>
              <w:spacing w:afterLines="0"/>
              <w:jc w:val="center"/>
              <w:rPr>
                <w:rFonts w:ascii="Times New Roman" w:hAnsi="Times New Roman" w:eastAsia="仿宋"/>
                <w:szCs w:val="21"/>
              </w:rPr>
            </w:pPr>
          </w:p>
        </w:tc>
      </w:tr>
      <w:tr w14:paraId="54E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88" w:type="dxa"/>
            <w:vAlign w:val="center"/>
          </w:tcPr>
          <w:p w14:paraId="1C524CB9">
            <w:pPr>
              <w:spacing w:afterLines="0" w:line="300" w:lineRule="exact"/>
              <w:jc w:val="center"/>
              <w:rPr>
                <w:rFonts w:ascii="Times New Roman" w:hAnsi="Times New Roman" w:eastAsia="仿宋"/>
                <w:szCs w:val="21"/>
              </w:rPr>
            </w:pPr>
            <w:r>
              <w:rPr>
                <w:rFonts w:hint="eastAsia" w:ascii="Times New Roman" w:hAnsi="Times New Roman" w:eastAsia="仿宋"/>
                <w:szCs w:val="21"/>
              </w:rPr>
              <w:t>收运地址</w:t>
            </w:r>
          </w:p>
        </w:tc>
        <w:tc>
          <w:tcPr>
            <w:tcW w:w="3914" w:type="dxa"/>
            <w:gridSpan w:val="3"/>
            <w:vAlign w:val="center"/>
          </w:tcPr>
          <w:p w14:paraId="1C562216">
            <w:pPr>
              <w:spacing w:afterLines="0" w:line="300" w:lineRule="exact"/>
              <w:jc w:val="center"/>
              <w:rPr>
                <w:rFonts w:ascii="Times New Roman" w:hAnsi="Times New Roman" w:eastAsia="仿宋"/>
                <w:szCs w:val="21"/>
              </w:rPr>
            </w:pPr>
            <w:r>
              <w:rPr>
                <w:rFonts w:hint="eastAsia" w:ascii="Times New Roman" w:hAnsi="Times New Roman" w:eastAsia="仿宋"/>
                <w:szCs w:val="21"/>
              </w:rPr>
              <w:t>深圳市内采购人指定地址</w:t>
            </w:r>
          </w:p>
        </w:tc>
        <w:tc>
          <w:tcPr>
            <w:tcW w:w="996" w:type="dxa"/>
            <w:gridSpan w:val="2"/>
            <w:vAlign w:val="center"/>
          </w:tcPr>
          <w:p w14:paraId="2F666768">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电话</w:t>
            </w:r>
          </w:p>
        </w:tc>
        <w:tc>
          <w:tcPr>
            <w:tcW w:w="3549" w:type="dxa"/>
            <w:gridSpan w:val="4"/>
          </w:tcPr>
          <w:p w14:paraId="0699CA37">
            <w:pPr>
              <w:spacing w:afterLines="0"/>
              <w:jc w:val="center"/>
              <w:rPr>
                <w:rFonts w:ascii="Times New Roman" w:hAnsi="Times New Roman" w:eastAsia="仿宋"/>
                <w:szCs w:val="21"/>
              </w:rPr>
            </w:pPr>
          </w:p>
        </w:tc>
      </w:tr>
      <w:tr w14:paraId="7CB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7C6D00A8">
            <w:pPr>
              <w:spacing w:afterLines="0" w:line="300" w:lineRule="exact"/>
              <w:jc w:val="center"/>
              <w:rPr>
                <w:rFonts w:ascii="Times New Roman" w:hAnsi="Times New Roman" w:eastAsia="仿宋"/>
                <w:b/>
                <w:sz w:val="28"/>
                <w:szCs w:val="28"/>
              </w:rPr>
            </w:pPr>
            <w:r>
              <w:rPr>
                <w:rFonts w:hint="eastAsia" w:ascii="Times New Roman" w:hAnsi="Times New Roman" w:eastAsia="仿宋"/>
                <w:szCs w:val="21"/>
              </w:rPr>
              <w:t>*</w:t>
            </w:r>
            <w:r>
              <w:rPr>
                <w:rFonts w:ascii="Times New Roman" w:hAnsi="Times New Roman" w:eastAsia="仿宋"/>
                <w:b/>
                <w:sz w:val="28"/>
                <w:szCs w:val="28"/>
              </w:rPr>
              <w:t>明</w:t>
            </w:r>
            <w:r>
              <w:rPr>
                <w:rFonts w:hint="eastAsia" w:ascii="Times New Roman" w:hAnsi="Times New Roman" w:eastAsia="仿宋"/>
                <w:b/>
                <w:sz w:val="28"/>
                <w:szCs w:val="28"/>
              </w:rPr>
              <w:t xml:space="preserve"> </w:t>
            </w:r>
            <w:r>
              <w:rPr>
                <w:rFonts w:ascii="Times New Roman" w:hAnsi="Times New Roman" w:eastAsia="仿宋"/>
                <w:b/>
                <w:sz w:val="28"/>
                <w:szCs w:val="28"/>
              </w:rPr>
              <w:t>细</w:t>
            </w:r>
          </w:p>
        </w:tc>
      </w:tr>
      <w:tr w14:paraId="7DF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4AAD85C5">
            <w:pPr>
              <w:spacing w:afterLines="0" w:line="300" w:lineRule="exact"/>
              <w:jc w:val="center"/>
              <w:rPr>
                <w:rFonts w:ascii="Times New Roman" w:hAnsi="Times New Roman" w:eastAsia="仿宋"/>
                <w:szCs w:val="21"/>
              </w:rPr>
            </w:pPr>
            <w:r>
              <w:rPr>
                <w:rFonts w:hint="eastAsia" w:ascii="Times New Roman" w:hAnsi="Times New Roman" w:eastAsia="仿宋"/>
                <w:b/>
                <w:bCs/>
                <w:szCs w:val="21"/>
              </w:rPr>
              <w:t>深圳市深水坂雪岗水务有限公司</w:t>
            </w:r>
          </w:p>
        </w:tc>
      </w:tr>
      <w:tr w14:paraId="167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3E9E79B5">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568" w:type="dxa"/>
            <w:vAlign w:val="center"/>
          </w:tcPr>
          <w:p w14:paraId="60AFF962">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593" w:type="dxa"/>
            <w:vAlign w:val="center"/>
          </w:tcPr>
          <w:p w14:paraId="59FEFC4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753" w:type="dxa"/>
            <w:vAlign w:val="center"/>
          </w:tcPr>
          <w:p w14:paraId="2620AA7A">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4E38C1C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726E65ED">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10491A41">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5F80EB7B">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6FD6AC8A">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19A628B0">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7991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70AD0EAC">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3A18C4B6">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废灯管</w:t>
            </w:r>
          </w:p>
        </w:tc>
        <w:tc>
          <w:tcPr>
            <w:tcW w:w="1593" w:type="dxa"/>
            <w:vAlign w:val="center"/>
          </w:tcPr>
          <w:p w14:paraId="633F4711">
            <w:pPr>
              <w:spacing w:afterLines="0" w:line="440" w:lineRule="exact"/>
              <w:jc w:val="center"/>
              <w:rPr>
                <w:rFonts w:ascii="Times New Roman" w:hAnsi="Times New Roman" w:eastAsia="仿宋"/>
                <w:bCs/>
                <w:szCs w:val="21"/>
              </w:rPr>
            </w:pPr>
            <w:r>
              <w:rPr>
                <w:rFonts w:ascii="Times New Roman" w:hAnsi="Times New Roman" w:eastAsia="仿宋"/>
                <w:bCs/>
                <w:szCs w:val="21"/>
              </w:rPr>
              <w:t>HW29(900-023-29</w:t>
            </w:r>
            <w:r>
              <w:rPr>
                <w:rFonts w:hint="eastAsia" w:ascii="Times New Roman" w:hAnsi="Times New Roman" w:eastAsia="仿宋"/>
                <w:bCs/>
                <w:szCs w:val="21"/>
              </w:rPr>
              <w:t>)</w:t>
            </w:r>
          </w:p>
        </w:tc>
        <w:tc>
          <w:tcPr>
            <w:tcW w:w="753" w:type="dxa"/>
            <w:vAlign w:val="center"/>
          </w:tcPr>
          <w:p w14:paraId="0D9645EC">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5905340B">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0.01</w:t>
            </w:r>
          </w:p>
        </w:tc>
        <w:tc>
          <w:tcPr>
            <w:tcW w:w="1186" w:type="dxa"/>
            <w:gridSpan w:val="2"/>
            <w:vAlign w:val="center"/>
          </w:tcPr>
          <w:p w14:paraId="37AA6483">
            <w:pPr>
              <w:spacing w:afterLines="0" w:line="440" w:lineRule="exact"/>
              <w:jc w:val="center"/>
              <w:rPr>
                <w:rFonts w:ascii="Times New Roman" w:hAnsi="Times New Roman" w:eastAsia="仿宋"/>
                <w:bCs/>
                <w:szCs w:val="21"/>
              </w:rPr>
            </w:pPr>
          </w:p>
        </w:tc>
        <w:tc>
          <w:tcPr>
            <w:tcW w:w="1065" w:type="dxa"/>
            <w:vAlign w:val="center"/>
          </w:tcPr>
          <w:p w14:paraId="1EDEB941">
            <w:pPr>
              <w:spacing w:afterLines="0" w:line="440" w:lineRule="exact"/>
              <w:jc w:val="center"/>
              <w:rPr>
                <w:rFonts w:ascii="Times New Roman" w:hAnsi="Times New Roman" w:eastAsia="仿宋"/>
                <w:bCs/>
                <w:szCs w:val="21"/>
              </w:rPr>
            </w:pPr>
          </w:p>
        </w:tc>
        <w:tc>
          <w:tcPr>
            <w:tcW w:w="1298" w:type="dxa"/>
            <w:vAlign w:val="center"/>
          </w:tcPr>
          <w:p w14:paraId="6175A6E9">
            <w:pPr>
              <w:spacing w:afterLines="0" w:line="440" w:lineRule="exact"/>
              <w:jc w:val="center"/>
              <w:rPr>
                <w:rFonts w:ascii="Times New Roman" w:hAnsi="Times New Roman" w:eastAsia="仿宋"/>
                <w:bCs/>
                <w:szCs w:val="21"/>
              </w:rPr>
            </w:pPr>
          </w:p>
        </w:tc>
      </w:tr>
      <w:tr w14:paraId="406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52027CB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4477E448">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废酸</w:t>
            </w:r>
          </w:p>
        </w:tc>
        <w:tc>
          <w:tcPr>
            <w:tcW w:w="1593" w:type="dxa"/>
            <w:vAlign w:val="center"/>
          </w:tcPr>
          <w:p w14:paraId="467D6989">
            <w:pPr>
              <w:spacing w:afterLines="0" w:line="440" w:lineRule="exact"/>
              <w:jc w:val="center"/>
              <w:rPr>
                <w:rFonts w:ascii="Times New Roman" w:hAnsi="Times New Roman" w:eastAsia="仿宋"/>
                <w:bCs/>
                <w:szCs w:val="21"/>
              </w:rPr>
            </w:pPr>
            <w:r>
              <w:rPr>
                <w:rFonts w:ascii="Times New Roman" w:hAnsi="Times New Roman" w:eastAsia="仿宋"/>
                <w:bCs/>
                <w:szCs w:val="21"/>
              </w:rPr>
              <w:t>HW34(900-349-34</w:t>
            </w:r>
            <w:r>
              <w:rPr>
                <w:rFonts w:hint="eastAsia" w:ascii="Times New Roman" w:hAnsi="Times New Roman" w:eastAsia="仿宋"/>
                <w:bCs/>
                <w:szCs w:val="21"/>
              </w:rPr>
              <w:t>)</w:t>
            </w:r>
          </w:p>
        </w:tc>
        <w:tc>
          <w:tcPr>
            <w:tcW w:w="753" w:type="dxa"/>
            <w:vAlign w:val="center"/>
          </w:tcPr>
          <w:p w14:paraId="54467C4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F1A3231">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0.3</w:t>
            </w:r>
          </w:p>
        </w:tc>
        <w:tc>
          <w:tcPr>
            <w:tcW w:w="1186" w:type="dxa"/>
            <w:gridSpan w:val="2"/>
            <w:vAlign w:val="center"/>
          </w:tcPr>
          <w:p w14:paraId="1B045473">
            <w:pPr>
              <w:spacing w:afterLines="0" w:line="440" w:lineRule="exact"/>
              <w:jc w:val="center"/>
              <w:rPr>
                <w:rFonts w:ascii="Times New Roman" w:hAnsi="Times New Roman" w:eastAsia="仿宋"/>
                <w:bCs/>
                <w:szCs w:val="21"/>
              </w:rPr>
            </w:pPr>
          </w:p>
        </w:tc>
        <w:tc>
          <w:tcPr>
            <w:tcW w:w="1065" w:type="dxa"/>
            <w:vAlign w:val="center"/>
          </w:tcPr>
          <w:p w14:paraId="102880AB">
            <w:pPr>
              <w:spacing w:afterLines="0" w:line="440" w:lineRule="exact"/>
              <w:jc w:val="center"/>
              <w:rPr>
                <w:rFonts w:ascii="Times New Roman" w:hAnsi="Times New Roman" w:eastAsia="仿宋"/>
                <w:bCs/>
                <w:szCs w:val="21"/>
              </w:rPr>
            </w:pPr>
          </w:p>
        </w:tc>
        <w:tc>
          <w:tcPr>
            <w:tcW w:w="1298" w:type="dxa"/>
            <w:vAlign w:val="center"/>
          </w:tcPr>
          <w:p w14:paraId="7CDCDF22">
            <w:pPr>
              <w:spacing w:afterLines="0" w:line="440" w:lineRule="exact"/>
              <w:jc w:val="center"/>
              <w:rPr>
                <w:rFonts w:ascii="Times New Roman" w:hAnsi="Times New Roman" w:eastAsia="仿宋"/>
                <w:bCs/>
                <w:szCs w:val="21"/>
              </w:rPr>
            </w:pPr>
          </w:p>
        </w:tc>
      </w:tr>
      <w:tr w14:paraId="46CB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19F1582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5AD024D0">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废碱</w:t>
            </w:r>
          </w:p>
        </w:tc>
        <w:tc>
          <w:tcPr>
            <w:tcW w:w="1593" w:type="dxa"/>
            <w:vAlign w:val="center"/>
          </w:tcPr>
          <w:p w14:paraId="7E212C6E">
            <w:pPr>
              <w:spacing w:afterLines="0" w:line="440" w:lineRule="exact"/>
              <w:jc w:val="center"/>
              <w:rPr>
                <w:rFonts w:ascii="Times New Roman" w:hAnsi="Times New Roman" w:eastAsia="仿宋"/>
                <w:bCs/>
                <w:szCs w:val="21"/>
              </w:rPr>
            </w:pPr>
            <w:r>
              <w:rPr>
                <w:rFonts w:ascii="Times New Roman" w:hAnsi="Times New Roman" w:eastAsia="仿宋"/>
                <w:bCs/>
                <w:szCs w:val="21"/>
              </w:rPr>
              <w:t>HW35(900-356-35</w:t>
            </w:r>
            <w:r>
              <w:rPr>
                <w:rFonts w:hint="eastAsia" w:ascii="Times New Roman" w:hAnsi="Times New Roman" w:eastAsia="仿宋"/>
                <w:bCs/>
                <w:szCs w:val="21"/>
              </w:rPr>
              <w:t>)</w:t>
            </w:r>
          </w:p>
        </w:tc>
        <w:tc>
          <w:tcPr>
            <w:tcW w:w="753" w:type="dxa"/>
            <w:vAlign w:val="center"/>
          </w:tcPr>
          <w:p w14:paraId="59B2753D">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E4899FA">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0.1</w:t>
            </w:r>
          </w:p>
        </w:tc>
        <w:tc>
          <w:tcPr>
            <w:tcW w:w="1186" w:type="dxa"/>
            <w:gridSpan w:val="2"/>
            <w:vAlign w:val="center"/>
          </w:tcPr>
          <w:p w14:paraId="3247C61E">
            <w:pPr>
              <w:spacing w:afterLines="0" w:line="440" w:lineRule="exact"/>
              <w:jc w:val="center"/>
              <w:rPr>
                <w:rFonts w:ascii="Times New Roman" w:hAnsi="Times New Roman" w:eastAsia="仿宋"/>
                <w:bCs/>
                <w:szCs w:val="21"/>
              </w:rPr>
            </w:pPr>
          </w:p>
        </w:tc>
        <w:tc>
          <w:tcPr>
            <w:tcW w:w="1065" w:type="dxa"/>
            <w:vAlign w:val="center"/>
          </w:tcPr>
          <w:p w14:paraId="06882C84">
            <w:pPr>
              <w:spacing w:afterLines="0" w:line="440" w:lineRule="exact"/>
              <w:jc w:val="center"/>
              <w:rPr>
                <w:rFonts w:ascii="Times New Roman" w:hAnsi="Times New Roman" w:eastAsia="仿宋"/>
                <w:bCs/>
                <w:szCs w:val="21"/>
              </w:rPr>
            </w:pPr>
          </w:p>
        </w:tc>
        <w:tc>
          <w:tcPr>
            <w:tcW w:w="1298" w:type="dxa"/>
            <w:vAlign w:val="center"/>
          </w:tcPr>
          <w:p w14:paraId="31207F99">
            <w:pPr>
              <w:spacing w:afterLines="0" w:line="440" w:lineRule="exact"/>
              <w:jc w:val="center"/>
              <w:rPr>
                <w:rFonts w:ascii="Times New Roman" w:hAnsi="Times New Roman" w:eastAsia="仿宋"/>
                <w:bCs/>
                <w:szCs w:val="21"/>
              </w:rPr>
            </w:pPr>
          </w:p>
        </w:tc>
      </w:tr>
      <w:tr w14:paraId="7EC5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158B9E54">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2845A6DA">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废空桶</w:t>
            </w:r>
          </w:p>
        </w:tc>
        <w:tc>
          <w:tcPr>
            <w:tcW w:w="1593" w:type="dxa"/>
            <w:vAlign w:val="center"/>
          </w:tcPr>
          <w:p w14:paraId="131EC4BA">
            <w:pPr>
              <w:spacing w:afterLines="0" w:line="440" w:lineRule="exact"/>
              <w:jc w:val="center"/>
              <w:rPr>
                <w:rFonts w:ascii="Times New Roman" w:hAnsi="Times New Roman" w:eastAsia="仿宋"/>
                <w:bCs/>
                <w:szCs w:val="21"/>
              </w:rPr>
            </w:pPr>
            <w:r>
              <w:rPr>
                <w:rFonts w:ascii="Times New Roman" w:hAnsi="Times New Roman" w:eastAsia="仿宋"/>
                <w:bCs/>
                <w:szCs w:val="21"/>
              </w:rPr>
              <w:t>HW49(900-041-49</w:t>
            </w:r>
            <w:r>
              <w:rPr>
                <w:rFonts w:hint="eastAsia" w:ascii="Times New Roman" w:hAnsi="Times New Roman" w:eastAsia="仿宋"/>
                <w:bCs/>
                <w:szCs w:val="21"/>
              </w:rPr>
              <w:t>)</w:t>
            </w:r>
          </w:p>
        </w:tc>
        <w:tc>
          <w:tcPr>
            <w:tcW w:w="753" w:type="dxa"/>
            <w:vAlign w:val="center"/>
          </w:tcPr>
          <w:p w14:paraId="1E6DCAA5">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7503E2D2">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0.054</w:t>
            </w:r>
          </w:p>
        </w:tc>
        <w:tc>
          <w:tcPr>
            <w:tcW w:w="1186" w:type="dxa"/>
            <w:gridSpan w:val="2"/>
            <w:vAlign w:val="center"/>
          </w:tcPr>
          <w:p w14:paraId="31218C0C">
            <w:pPr>
              <w:spacing w:afterLines="0" w:line="440" w:lineRule="exact"/>
              <w:jc w:val="center"/>
              <w:rPr>
                <w:rFonts w:ascii="Times New Roman" w:hAnsi="Times New Roman" w:eastAsia="仿宋"/>
                <w:bCs/>
                <w:szCs w:val="21"/>
              </w:rPr>
            </w:pPr>
          </w:p>
        </w:tc>
        <w:tc>
          <w:tcPr>
            <w:tcW w:w="1065" w:type="dxa"/>
            <w:vAlign w:val="center"/>
          </w:tcPr>
          <w:p w14:paraId="6F0688A4">
            <w:pPr>
              <w:spacing w:afterLines="0" w:line="440" w:lineRule="exact"/>
              <w:jc w:val="center"/>
              <w:rPr>
                <w:rFonts w:ascii="Times New Roman" w:hAnsi="Times New Roman" w:eastAsia="仿宋"/>
                <w:bCs/>
                <w:szCs w:val="21"/>
              </w:rPr>
            </w:pPr>
          </w:p>
        </w:tc>
        <w:tc>
          <w:tcPr>
            <w:tcW w:w="1298" w:type="dxa"/>
            <w:vAlign w:val="center"/>
          </w:tcPr>
          <w:p w14:paraId="68B4E513">
            <w:pPr>
              <w:spacing w:afterLines="0" w:line="440" w:lineRule="exact"/>
              <w:jc w:val="center"/>
              <w:rPr>
                <w:rFonts w:ascii="Times New Roman" w:hAnsi="Times New Roman" w:eastAsia="仿宋"/>
                <w:bCs/>
                <w:szCs w:val="21"/>
              </w:rPr>
            </w:pPr>
          </w:p>
        </w:tc>
      </w:tr>
      <w:tr w14:paraId="320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66B1900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以上报价需含2次免费收运服务，如超过2次，超过部分按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44EF793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收运地址：广东省深圳市龙岗区坂田街道办事处龙岗区五和大道4025号；</w:t>
            </w:r>
          </w:p>
        </w:tc>
      </w:tr>
      <w:tr w14:paraId="6C2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4B43904A">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7A035061">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7899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77AE6659">
            <w:pPr>
              <w:spacing w:afterLines="0" w:line="300" w:lineRule="exact"/>
              <w:jc w:val="center"/>
              <w:rPr>
                <w:rFonts w:ascii="Times New Roman" w:hAnsi="Times New Roman" w:eastAsia="仿宋"/>
                <w:szCs w:val="21"/>
              </w:rPr>
            </w:pPr>
            <w:r>
              <w:rPr>
                <w:rFonts w:hint="eastAsia" w:ascii="Times New Roman" w:hAnsi="Times New Roman" w:eastAsia="仿宋"/>
                <w:b/>
                <w:szCs w:val="21"/>
              </w:rPr>
              <w:t>深圳市深水水务咨询有限公司-高桥污水资源化项目</w:t>
            </w:r>
          </w:p>
        </w:tc>
      </w:tr>
      <w:tr w14:paraId="70EB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2F3FB2B1">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568" w:type="dxa"/>
            <w:vAlign w:val="center"/>
          </w:tcPr>
          <w:p w14:paraId="39B6F5C3">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593" w:type="dxa"/>
            <w:vAlign w:val="center"/>
          </w:tcPr>
          <w:p w14:paraId="3AFEFBED">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753" w:type="dxa"/>
            <w:vAlign w:val="center"/>
          </w:tcPr>
          <w:p w14:paraId="631394E1">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01435728">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0F733DBA">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5313B1C8">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35982740">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29269F76">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49C04A35">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3C84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1D3F592D">
            <w:pPr>
              <w:pStyle w:val="58"/>
              <w:numPr>
                <w:ilvl w:val="0"/>
                <w:numId w:val="6"/>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224CDA28">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废酸</w:t>
            </w:r>
          </w:p>
        </w:tc>
        <w:tc>
          <w:tcPr>
            <w:tcW w:w="1593" w:type="dxa"/>
            <w:vAlign w:val="center"/>
          </w:tcPr>
          <w:p w14:paraId="7959FCF4">
            <w:pPr>
              <w:spacing w:afterLines="0" w:line="440" w:lineRule="exact"/>
              <w:jc w:val="center"/>
              <w:rPr>
                <w:rFonts w:ascii="Times New Roman" w:hAnsi="Times New Roman" w:eastAsia="仿宋"/>
                <w:bCs/>
                <w:szCs w:val="21"/>
              </w:rPr>
            </w:pPr>
            <w:r>
              <w:rPr>
                <w:rFonts w:ascii="Times New Roman" w:hAnsi="Times New Roman" w:eastAsia="仿宋"/>
                <w:bCs/>
                <w:szCs w:val="21"/>
              </w:rPr>
              <w:t>HW34(900-349-34</w:t>
            </w:r>
            <w:r>
              <w:rPr>
                <w:rFonts w:hint="eastAsia" w:ascii="Times New Roman" w:hAnsi="Times New Roman" w:eastAsia="仿宋"/>
                <w:bCs/>
                <w:szCs w:val="21"/>
              </w:rPr>
              <w:t>)</w:t>
            </w:r>
          </w:p>
        </w:tc>
        <w:tc>
          <w:tcPr>
            <w:tcW w:w="753" w:type="dxa"/>
            <w:vAlign w:val="center"/>
          </w:tcPr>
          <w:p w14:paraId="0C4A2756">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13D3CA1D">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0.8</w:t>
            </w:r>
          </w:p>
        </w:tc>
        <w:tc>
          <w:tcPr>
            <w:tcW w:w="1186" w:type="dxa"/>
            <w:gridSpan w:val="2"/>
            <w:vAlign w:val="center"/>
          </w:tcPr>
          <w:p w14:paraId="3EFD7308">
            <w:pPr>
              <w:spacing w:afterLines="0" w:line="440" w:lineRule="exact"/>
              <w:jc w:val="center"/>
              <w:rPr>
                <w:rFonts w:ascii="Times New Roman" w:hAnsi="Times New Roman" w:eastAsia="仿宋"/>
                <w:bCs/>
                <w:szCs w:val="21"/>
              </w:rPr>
            </w:pPr>
          </w:p>
        </w:tc>
        <w:tc>
          <w:tcPr>
            <w:tcW w:w="1065" w:type="dxa"/>
            <w:vAlign w:val="center"/>
          </w:tcPr>
          <w:p w14:paraId="1C32D219">
            <w:pPr>
              <w:spacing w:afterLines="0" w:line="440" w:lineRule="exact"/>
              <w:jc w:val="center"/>
              <w:rPr>
                <w:rFonts w:ascii="Times New Roman" w:hAnsi="Times New Roman" w:eastAsia="仿宋"/>
                <w:bCs/>
                <w:szCs w:val="21"/>
              </w:rPr>
            </w:pPr>
          </w:p>
        </w:tc>
        <w:tc>
          <w:tcPr>
            <w:tcW w:w="1298" w:type="dxa"/>
            <w:vAlign w:val="center"/>
          </w:tcPr>
          <w:p w14:paraId="64B2DAE7">
            <w:pPr>
              <w:spacing w:afterLines="0" w:line="440" w:lineRule="exact"/>
              <w:jc w:val="center"/>
              <w:rPr>
                <w:rFonts w:ascii="Times New Roman" w:hAnsi="Times New Roman" w:eastAsia="仿宋"/>
                <w:bCs/>
                <w:szCs w:val="21"/>
              </w:rPr>
            </w:pPr>
          </w:p>
        </w:tc>
      </w:tr>
      <w:tr w14:paraId="0BB3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4A76B1DF">
            <w:pPr>
              <w:pStyle w:val="58"/>
              <w:numPr>
                <w:ilvl w:val="0"/>
                <w:numId w:val="6"/>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46928483">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废碱</w:t>
            </w:r>
          </w:p>
        </w:tc>
        <w:tc>
          <w:tcPr>
            <w:tcW w:w="1593" w:type="dxa"/>
            <w:vAlign w:val="center"/>
          </w:tcPr>
          <w:p w14:paraId="7DF280E2">
            <w:pPr>
              <w:spacing w:afterLines="0" w:line="440" w:lineRule="exact"/>
              <w:jc w:val="center"/>
              <w:rPr>
                <w:rFonts w:ascii="Times New Roman" w:hAnsi="Times New Roman" w:eastAsia="仿宋"/>
                <w:bCs/>
                <w:szCs w:val="21"/>
              </w:rPr>
            </w:pPr>
            <w:r>
              <w:rPr>
                <w:rFonts w:ascii="Times New Roman" w:hAnsi="Times New Roman" w:eastAsia="仿宋"/>
                <w:bCs/>
                <w:szCs w:val="21"/>
              </w:rPr>
              <w:t>HW35(900-356-35</w:t>
            </w:r>
            <w:r>
              <w:rPr>
                <w:rFonts w:hint="eastAsia" w:ascii="Times New Roman" w:hAnsi="Times New Roman" w:eastAsia="仿宋"/>
                <w:bCs/>
                <w:szCs w:val="21"/>
              </w:rPr>
              <w:t>)</w:t>
            </w:r>
          </w:p>
        </w:tc>
        <w:tc>
          <w:tcPr>
            <w:tcW w:w="753" w:type="dxa"/>
            <w:vAlign w:val="center"/>
          </w:tcPr>
          <w:p w14:paraId="5B476280">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5C9AA0D7">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0.7</w:t>
            </w:r>
          </w:p>
        </w:tc>
        <w:tc>
          <w:tcPr>
            <w:tcW w:w="1186" w:type="dxa"/>
            <w:gridSpan w:val="2"/>
            <w:vAlign w:val="center"/>
          </w:tcPr>
          <w:p w14:paraId="331937DD">
            <w:pPr>
              <w:spacing w:afterLines="0" w:line="440" w:lineRule="exact"/>
              <w:jc w:val="center"/>
              <w:rPr>
                <w:rFonts w:ascii="Times New Roman" w:hAnsi="Times New Roman" w:eastAsia="仿宋"/>
                <w:bCs/>
                <w:szCs w:val="21"/>
              </w:rPr>
            </w:pPr>
          </w:p>
        </w:tc>
        <w:tc>
          <w:tcPr>
            <w:tcW w:w="1065" w:type="dxa"/>
            <w:vAlign w:val="center"/>
          </w:tcPr>
          <w:p w14:paraId="6980F85E">
            <w:pPr>
              <w:spacing w:afterLines="0" w:line="440" w:lineRule="exact"/>
              <w:jc w:val="center"/>
              <w:rPr>
                <w:rFonts w:ascii="Times New Roman" w:hAnsi="Times New Roman" w:eastAsia="仿宋"/>
                <w:bCs/>
                <w:szCs w:val="21"/>
              </w:rPr>
            </w:pPr>
          </w:p>
        </w:tc>
        <w:tc>
          <w:tcPr>
            <w:tcW w:w="1298" w:type="dxa"/>
            <w:vAlign w:val="center"/>
          </w:tcPr>
          <w:p w14:paraId="13C51B3F">
            <w:pPr>
              <w:spacing w:afterLines="0" w:line="440" w:lineRule="exact"/>
              <w:jc w:val="center"/>
              <w:rPr>
                <w:rFonts w:ascii="Times New Roman" w:hAnsi="Times New Roman" w:eastAsia="仿宋"/>
                <w:bCs/>
                <w:szCs w:val="21"/>
              </w:rPr>
            </w:pPr>
          </w:p>
        </w:tc>
      </w:tr>
      <w:tr w14:paraId="67F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6DE0E96B">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以上报价需含2次免费收运服务，如超过2次，超过部分按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68678FA6">
            <w:pPr>
              <w:spacing w:afterLines="0" w:line="400" w:lineRule="exact"/>
              <w:jc w:val="left"/>
            </w:pPr>
            <w:r>
              <w:rPr>
                <w:rFonts w:hint="eastAsia" w:ascii="Times New Roman" w:hAnsi="Times New Roman" w:eastAsia="仿宋"/>
                <w:bCs/>
                <w:szCs w:val="21"/>
              </w:rPr>
              <w:t>收运地址：深圳市龙岗区坪地街道高桥社区塘桥东路丁山河东岸绿化带；</w:t>
            </w:r>
          </w:p>
        </w:tc>
      </w:tr>
      <w:tr w14:paraId="2819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3644310E">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711AB189">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44C4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018ACC1A">
            <w:pPr>
              <w:spacing w:afterLines="0" w:line="300" w:lineRule="exact"/>
              <w:jc w:val="center"/>
              <w:rPr>
                <w:rFonts w:ascii="Times New Roman" w:hAnsi="Times New Roman" w:eastAsia="仿宋"/>
                <w:szCs w:val="21"/>
              </w:rPr>
            </w:pPr>
            <w:r>
              <w:rPr>
                <w:rFonts w:hint="eastAsia" w:ascii="Times New Roman" w:hAnsi="Times New Roman" w:eastAsia="仿宋"/>
                <w:b/>
                <w:szCs w:val="21"/>
              </w:rPr>
              <w:t>深圳市深水</w:t>
            </w:r>
            <w:r>
              <w:rPr>
                <w:rFonts w:hint="eastAsia" w:ascii="Times New Roman" w:hAnsi="Times New Roman" w:eastAsia="仿宋"/>
                <w:b/>
                <w:szCs w:val="21"/>
                <w:lang w:val="en-US" w:eastAsia="zh-CN"/>
              </w:rPr>
              <w:t>环境科技</w:t>
            </w:r>
            <w:r>
              <w:rPr>
                <w:rFonts w:hint="eastAsia" w:ascii="Times New Roman" w:hAnsi="Times New Roman" w:eastAsia="仿宋"/>
                <w:b/>
                <w:szCs w:val="21"/>
              </w:rPr>
              <w:t>有限公司-观澜河口调蓄池项目</w:t>
            </w:r>
          </w:p>
        </w:tc>
      </w:tr>
      <w:tr w14:paraId="078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4A6EA71F">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568" w:type="dxa"/>
            <w:vAlign w:val="center"/>
          </w:tcPr>
          <w:p w14:paraId="120E2D40">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593" w:type="dxa"/>
            <w:vAlign w:val="center"/>
          </w:tcPr>
          <w:p w14:paraId="44EAB3AF">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753" w:type="dxa"/>
            <w:vAlign w:val="center"/>
          </w:tcPr>
          <w:p w14:paraId="7AFC2CB1">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374B86A0">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67787992">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13DCC0E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16E09F0E">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4242A6B7">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12029107">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2458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306F5812">
            <w:pPr>
              <w:pStyle w:val="58"/>
              <w:numPr>
                <w:ilvl w:val="0"/>
                <w:numId w:val="7"/>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3A926848">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废灯管</w:t>
            </w:r>
          </w:p>
        </w:tc>
        <w:tc>
          <w:tcPr>
            <w:tcW w:w="1593" w:type="dxa"/>
            <w:vAlign w:val="center"/>
          </w:tcPr>
          <w:p w14:paraId="1DB75F69">
            <w:pPr>
              <w:spacing w:afterLines="0" w:line="440" w:lineRule="exact"/>
              <w:jc w:val="center"/>
              <w:rPr>
                <w:rFonts w:ascii="Times New Roman" w:hAnsi="Times New Roman" w:eastAsia="仿宋"/>
                <w:bCs/>
                <w:szCs w:val="21"/>
              </w:rPr>
            </w:pPr>
            <w:r>
              <w:rPr>
                <w:rFonts w:ascii="Times New Roman" w:hAnsi="Times New Roman" w:eastAsia="仿宋"/>
                <w:bCs/>
                <w:szCs w:val="21"/>
              </w:rPr>
              <w:t>HW29(900-023-29</w:t>
            </w:r>
            <w:r>
              <w:rPr>
                <w:rFonts w:hint="eastAsia" w:ascii="Times New Roman" w:hAnsi="Times New Roman" w:eastAsia="仿宋"/>
                <w:bCs/>
                <w:szCs w:val="21"/>
              </w:rPr>
              <w:t>)</w:t>
            </w:r>
          </w:p>
        </w:tc>
        <w:tc>
          <w:tcPr>
            <w:tcW w:w="753" w:type="dxa"/>
            <w:vAlign w:val="center"/>
          </w:tcPr>
          <w:p w14:paraId="1ED3FD0A">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459F1D75">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0.01</w:t>
            </w:r>
          </w:p>
        </w:tc>
        <w:tc>
          <w:tcPr>
            <w:tcW w:w="1186" w:type="dxa"/>
            <w:gridSpan w:val="2"/>
            <w:vAlign w:val="center"/>
          </w:tcPr>
          <w:p w14:paraId="0439ED85">
            <w:pPr>
              <w:spacing w:afterLines="0" w:line="440" w:lineRule="exact"/>
              <w:jc w:val="center"/>
              <w:rPr>
                <w:rFonts w:ascii="Times New Roman" w:hAnsi="Times New Roman" w:eastAsia="仿宋"/>
                <w:bCs/>
                <w:szCs w:val="21"/>
              </w:rPr>
            </w:pPr>
          </w:p>
        </w:tc>
        <w:tc>
          <w:tcPr>
            <w:tcW w:w="1065" w:type="dxa"/>
            <w:vAlign w:val="center"/>
          </w:tcPr>
          <w:p w14:paraId="3D59BCE4">
            <w:pPr>
              <w:spacing w:afterLines="0" w:line="440" w:lineRule="exact"/>
              <w:jc w:val="center"/>
              <w:rPr>
                <w:rFonts w:ascii="Times New Roman" w:hAnsi="Times New Roman" w:eastAsia="仿宋"/>
                <w:bCs/>
                <w:szCs w:val="21"/>
              </w:rPr>
            </w:pPr>
          </w:p>
        </w:tc>
        <w:tc>
          <w:tcPr>
            <w:tcW w:w="1298" w:type="dxa"/>
            <w:vAlign w:val="center"/>
          </w:tcPr>
          <w:p w14:paraId="36B04BCC">
            <w:pPr>
              <w:spacing w:afterLines="0" w:line="440" w:lineRule="exact"/>
              <w:jc w:val="center"/>
              <w:rPr>
                <w:rFonts w:ascii="Times New Roman" w:hAnsi="Times New Roman" w:eastAsia="仿宋"/>
                <w:bCs/>
                <w:szCs w:val="21"/>
              </w:rPr>
            </w:pPr>
          </w:p>
        </w:tc>
      </w:tr>
      <w:tr w14:paraId="5E5E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78863F3D">
            <w:pPr>
              <w:pStyle w:val="58"/>
              <w:numPr>
                <w:ilvl w:val="0"/>
                <w:numId w:val="7"/>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513509C2">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废酸</w:t>
            </w:r>
          </w:p>
        </w:tc>
        <w:tc>
          <w:tcPr>
            <w:tcW w:w="1593" w:type="dxa"/>
            <w:vAlign w:val="center"/>
          </w:tcPr>
          <w:p w14:paraId="7AC44864">
            <w:pPr>
              <w:spacing w:afterLines="0" w:line="440" w:lineRule="exact"/>
              <w:jc w:val="center"/>
              <w:rPr>
                <w:rFonts w:ascii="Times New Roman" w:hAnsi="Times New Roman" w:eastAsia="仿宋"/>
                <w:bCs/>
                <w:szCs w:val="21"/>
              </w:rPr>
            </w:pPr>
            <w:r>
              <w:rPr>
                <w:rFonts w:ascii="Times New Roman" w:hAnsi="Times New Roman" w:eastAsia="仿宋"/>
                <w:bCs/>
                <w:szCs w:val="21"/>
              </w:rPr>
              <w:t>HW34(900-349-34</w:t>
            </w:r>
            <w:r>
              <w:rPr>
                <w:rFonts w:hint="eastAsia" w:ascii="Times New Roman" w:hAnsi="Times New Roman" w:eastAsia="仿宋"/>
                <w:bCs/>
                <w:szCs w:val="21"/>
              </w:rPr>
              <w:t>)</w:t>
            </w:r>
          </w:p>
        </w:tc>
        <w:tc>
          <w:tcPr>
            <w:tcW w:w="753" w:type="dxa"/>
            <w:vAlign w:val="center"/>
          </w:tcPr>
          <w:p w14:paraId="571A1A4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1F6E78F3">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1.2</w:t>
            </w:r>
          </w:p>
        </w:tc>
        <w:tc>
          <w:tcPr>
            <w:tcW w:w="1186" w:type="dxa"/>
            <w:gridSpan w:val="2"/>
            <w:vAlign w:val="center"/>
          </w:tcPr>
          <w:p w14:paraId="6C22B860">
            <w:pPr>
              <w:spacing w:afterLines="0" w:line="440" w:lineRule="exact"/>
              <w:jc w:val="center"/>
              <w:rPr>
                <w:rFonts w:ascii="Times New Roman" w:hAnsi="Times New Roman" w:eastAsia="仿宋"/>
                <w:bCs/>
                <w:szCs w:val="21"/>
              </w:rPr>
            </w:pPr>
          </w:p>
        </w:tc>
        <w:tc>
          <w:tcPr>
            <w:tcW w:w="1065" w:type="dxa"/>
            <w:vAlign w:val="center"/>
          </w:tcPr>
          <w:p w14:paraId="0B081A43">
            <w:pPr>
              <w:spacing w:afterLines="0" w:line="440" w:lineRule="exact"/>
              <w:jc w:val="center"/>
              <w:rPr>
                <w:rFonts w:ascii="Times New Roman" w:hAnsi="Times New Roman" w:eastAsia="仿宋"/>
                <w:bCs/>
                <w:szCs w:val="21"/>
              </w:rPr>
            </w:pPr>
          </w:p>
        </w:tc>
        <w:tc>
          <w:tcPr>
            <w:tcW w:w="1298" w:type="dxa"/>
            <w:vAlign w:val="center"/>
          </w:tcPr>
          <w:p w14:paraId="50E438A8">
            <w:pPr>
              <w:spacing w:afterLines="0" w:line="440" w:lineRule="exact"/>
              <w:jc w:val="center"/>
              <w:rPr>
                <w:rFonts w:ascii="Times New Roman" w:hAnsi="Times New Roman" w:eastAsia="仿宋"/>
                <w:bCs/>
                <w:szCs w:val="21"/>
              </w:rPr>
            </w:pPr>
          </w:p>
        </w:tc>
      </w:tr>
      <w:tr w14:paraId="74E5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66AF3411">
            <w:pPr>
              <w:pStyle w:val="58"/>
              <w:numPr>
                <w:ilvl w:val="0"/>
                <w:numId w:val="7"/>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6A6D6A9B">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废碱</w:t>
            </w:r>
          </w:p>
        </w:tc>
        <w:tc>
          <w:tcPr>
            <w:tcW w:w="1593" w:type="dxa"/>
            <w:vAlign w:val="center"/>
          </w:tcPr>
          <w:p w14:paraId="029FB4DF">
            <w:pPr>
              <w:spacing w:afterLines="0" w:line="440" w:lineRule="exact"/>
              <w:jc w:val="center"/>
              <w:rPr>
                <w:rFonts w:ascii="Times New Roman" w:hAnsi="Times New Roman" w:eastAsia="仿宋"/>
                <w:bCs/>
                <w:szCs w:val="21"/>
              </w:rPr>
            </w:pPr>
            <w:r>
              <w:rPr>
                <w:rFonts w:ascii="Times New Roman" w:hAnsi="Times New Roman" w:eastAsia="仿宋"/>
                <w:bCs/>
                <w:szCs w:val="21"/>
              </w:rPr>
              <w:t>HW35(900-356-35</w:t>
            </w:r>
            <w:r>
              <w:rPr>
                <w:rFonts w:hint="eastAsia" w:ascii="Times New Roman" w:hAnsi="Times New Roman" w:eastAsia="仿宋"/>
                <w:bCs/>
                <w:szCs w:val="21"/>
              </w:rPr>
              <w:t>)</w:t>
            </w:r>
          </w:p>
        </w:tc>
        <w:tc>
          <w:tcPr>
            <w:tcW w:w="753" w:type="dxa"/>
            <w:vAlign w:val="center"/>
          </w:tcPr>
          <w:p w14:paraId="43EA8C7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181B15E3">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0.8</w:t>
            </w:r>
          </w:p>
        </w:tc>
        <w:tc>
          <w:tcPr>
            <w:tcW w:w="1186" w:type="dxa"/>
            <w:gridSpan w:val="2"/>
            <w:vAlign w:val="center"/>
          </w:tcPr>
          <w:p w14:paraId="6223647A">
            <w:pPr>
              <w:spacing w:afterLines="0" w:line="440" w:lineRule="exact"/>
              <w:jc w:val="center"/>
              <w:rPr>
                <w:rFonts w:ascii="Times New Roman" w:hAnsi="Times New Roman" w:eastAsia="仿宋"/>
                <w:bCs/>
                <w:szCs w:val="21"/>
              </w:rPr>
            </w:pPr>
          </w:p>
        </w:tc>
        <w:tc>
          <w:tcPr>
            <w:tcW w:w="1065" w:type="dxa"/>
            <w:vAlign w:val="center"/>
          </w:tcPr>
          <w:p w14:paraId="02D2934F">
            <w:pPr>
              <w:spacing w:afterLines="0" w:line="440" w:lineRule="exact"/>
              <w:jc w:val="center"/>
              <w:rPr>
                <w:rFonts w:ascii="Times New Roman" w:hAnsi="Times New Roman" w:eastAsia="仿宋"/>
                <w:bCs/>
                <w:szCs w:val="21"/>
              </w:rPr>
            </w:pPr>
          </w:p>
        </w:tc>
        <w:tc>
          <w:tcPr>
            <w:tcW w:w="1298" w:type="dxa"/>
            <w:vAlign w:val="center"/>
          </w:tcPr>
          <w:p w14:paraId="636A0242">
            <w:pPr>
              <w:spacing w:afterLines="0" w:line="440" w:lineRule="exact"/>
              <w:jc w:val="center"/>
              <w:rPr>
                <w:rFonts w:ascii="Times New Roman" w:hAnsi="Times New Roman" w:eastAsia="仿宋"/>
                <w:bCs/>
                <w:szCs w:val="21"/>
              </w:rPr>
            </w:pPr>
          </w:p>
        </w:tc>
      </w:tr>
      <w:tr w14:paraId="31DF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235A8848">
            <w:pPr>
              <w:pStyle w:val="58"/>
              <w:numPr>
                <w:ilvl w:val="0"/>
                <w:numId w:val="7"/>
              </w:numPr>
              <w:spacing w:after="78" w:afterLines="0" w:line="440" w:lineRule="exact"/>
              <w:ind w:left="0" w:firstLine="0" w:firstLineChars="0"/>
              <w:jc w:val="center"/>
              <w:rPr>
                <w:rFonts w:ascii="Times New Roman" w:hAnsi="Times New Roman" w:eastAsia="仿宋"/>
                <w:bCs/>
                <w:szCs w:val="21"/>
              </w:rPr>
            </w:pPr>
          </w:p>
        </w:tc>
        <w:tc>
          <w:tcPr>
            <w:tcW w:w="1568" w:type="dxa"/>
            <w:vAlign w:val="center"/>
          </w:tcPr>
          <w:p w14:paraId="632B0001">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废空桶</w:t>
            </w:r>
          </w:p>
        </w:tc>
        <w:tc>
          <w:tcPr>
            <w:tcW w:w="1593" w:type="dxa"/>
            <w:vAlign w:val="center"/>
          </w:tcPr>
          <w:p w14:paraId="03AC1C01">
            <w:pPr>
              <w:spacing w:afterLines="0" w:line="440" w:lineRule="exact"/>
              <w:jc w:val="center"/>
              <w:rPr>
                <w:rFonts w:ascii="Times New Roman" w:hAnsi="Times New Roman" w:eastAsia="仿宋"/>
                <w:bCs/>
                <w:szCs w:val="21"/>
              </w:rPr>
            </w:pPr>
            <w:r>
              <w:rPr>
                <w:rFonts w:ascii="Times New Roman" w:hAnsi="Times New Roman" w:eastAsia="仿宋"/>
                <w:bCs/>
                <w:szCs w:val="21"/>
              </w:rPr>
              <w:t>HW49(900-041-49</w:t>
            </w:r>
            <w:r>
              <w:rPr>
                <w:rFonts w:hint="eastAsia" w:ascii="Times New Roman" w:hAnsi="Times New Roman" w:eastAsia="仿宋"/>
                <w:bCs/>
                <w:szCs w:val="21"/>
              </w:rPr>
              <w:t>)</w:t>
            </w:r>
          </w:p>
        </w:tc>
        <w:tc>
          <w:tcPr>
            <w:tcW w:w="753" w:type="dxa"/>
            <w:vAlign w:val="center"/>
          </w:tcPr>
          <w:p w14:paraId="7CBB0C9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EDE8F2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0.027</w:t>
            </w:r>
          </w:p>
        </w:tc>
        <w:tc>
          <w:tcPr>
            <w:tcW w:w="1186" w:type="dxa"/>
            <w:gridSpan w:val="2"/>
            <w:vAlign w:val="center"/>
          </w:tcPr>
          <w:p w14:paraId="2B2617D8">
            <w:pPr>
              <w:spacing w:afterLines="0" w:line="440" w:lineRule="exact"/>
              <w:jc w:val="center"/>
              <w:rPr>
                <w:rFonts w:ascii="Times New Roman" w:hAnsi="Times New Roman" w:eastAsia="仿宋"/>
                <w:bCs/>
                <w:szCs w:val="21"/>
              </w:rPr>
            </w:pPr>
          </w:p>
        </w:tc>
        <w:tc>
          <w:tcPr>
            <w:tcW w:w="1065" w:type="dxa"/>
            <w:vAlign w:val="center"/>
          </w:tcPr>
          <w:p w14:paraId="6F6D830C">
            <w:pPr>
              <w:spacing w:afterLines="0" w:line="440" w:lineRule="exact"/>
              <w:jc w:val="center"/>
              <w:rPr>
                <w:rFonts w:ascii="Times New Roman" w:hAnsi="Times New Roman" w:eastAsia="仿宋"/>
                <w:bCs/>
                <w:szCs w:val="21"/>
              </w:rPr>
            </w:pPr>
          </w:p>
        </w:tc>
        <w:tc>
          <w:tcPr>
            <w:tcW w:w="1298" w:type="dxa"/>
            <w:vAlign w:val="center"/>
          </w:tcPr>
          <w:p w14:paraId="57494B6F">
            <w:pPr>
              <w:spacing w:afterLines="0" w:line="440" w:lineRule="exact"/>
              <w:jc w:val="center"/>
              <w:rPr>
                <w:rFonts w:ascii="Times New Roman" w:hAnsi="Times New Roman" w:eastAsia="仿宋"/>
                <w:bCs/>
                <w:szCs w:val="21"/>
              </w:rPr>
            </w:pPr>
          </w:p>
        </w:tc>
      </w:tr>
      <w:tr w14:paraId="514A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70D6B803">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以上报价需含2次免费收运服务，如超过2次，超过部分按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785E3602">
            <w:pPr>
              <w:spacing w:afterLines="0" w:line="400" w:lineRule="exact"/>
              <w:jc w:val="left"/>
            </w:pPr>
            <w:r>
              <w:rPr>
                <w:rFonts w:hint="eastAsia" w:ascii="Times New Roman" w:hAnsi="Times New Roman" w:eastAsia="仿宋"/>
                <w:bCs/>
                <w:szCs w:val="21"/>
              </w:rPr>
              <w:t>收运地址：深圳市龙华区观澜街道桂花路380号；</w:t>
            </w:r>
          </w:p>
        </w:tc>
      </w:tr>
      <w:tr w14:paraId="039E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434E70C2">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33489C3E">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797F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7C67AB94">
            <w:pPr>
              <w:spacing w:afterLines="0" w:line="300" w:lineRule="exact"/>
              <w:jc w:val="center"/>
              <w:rPr>
                <w:rFonts w:ascii="Times New Roman" w:hAnsi="Times New Roman" w:eastAsia="仿宋"/>
                <w:szCs w:val="21"/>
              </w:rPr>
            </w:pPr>
            <w:r>
              <w:rPr>
                <w:rFonts w:hint="eastAsia" w:ascii="Times New Roman" w:hAnsi="Times New Roman" w:eastAsia="仿宋"/>
                <w:szCs w:val="21"/>
              </w:rPr>
              <w:t>备注</w:t>
            </w:r>
          </w:p>
        </w:tc>
        <w:tc>
          <w:tcPr>
            <w:tcW w:w="8459" w:type="dxa"/>
            <w:gridSpan w:val="9"/>
            <w:vAlign w:val="center"/>
          </w:tcPr>
          <w:p w14:paraId="302E40FB">
            <w:pPr>
              <w:spacing w:afterLines="0" w:line="300" w:lineRule="exact"/>
              <w:jc w:val="left"/>
              <w:rPr>
                <w:rFonts w:ascii="Times New Roman" w:hAnsi="Times New Roman" w:eastAsia="仿宋"/>
                <w:szCs w:val="21"/>
              </w:rPr>
            </w:pPr>
            <w:r>
              <w:rPr>
                <w:rFonts w:hint="eastAsia" w:ascii="Times New Roman" w:hAnsi="Times New Roman" w:eastAsia="仿宋"/>
                <w:szCs w:val="21"/>
              </w:rPr>
              <w:t>由深圳市深水水务咨询有限公司、深圳市深</w:t>
            </w:r>
            <w:r>
              <w:rPr>
                <w:rFonts w:hint="eastAsia" w:ascii="Times New Roman" w:hAnsi="Times New Roman" w:eastAsia="仿宋"/>
                <w:sz w:val="21"/>
                <w:szCs w:val="21"/>
              </w:rPr>
              <w:t>水坂雪岗水务有限公</w:t>
            </w:r>
            <w:r>
              <w:rPr>
                <w:rFonts w:hint="eastAsia" w:ascii="Times New Roman" w:hAnsi="Times New Roman" w:eastAsia="仿宋"/>
                <w:szCs w:val="21"/>
              </w:rPr>
              <w:t>司</w:t>
            </w:r>
            <w:r>
              <w:rPr>
                <w:rFonts w:hint="eastAsia" w:ascii="Times New Roman" w:hAnsi="Times New Roman" w:eastAsia="仿宋"/>
                <w:szCs w:val="21"/>
                <w:lang w:eastAsia="zh-CN"/>
              </w:rPr>
              <w:t>、深圳市深水环境科技有限公司</w:t>
            </w:r>
            <w:r>
              <w:rPr>
                <w:rFonts w:hint="eastAsia" w:ascii="Times New Roman" w:hAnsi="Times New Roman" w:eastAsia="仿宋"/>
                <w:szCs w:val="21"/>
              </w:rPr>
              <w:t>分别与中选人签订服务协议。</w:t>
            </w:r>
          </w:p>
        </w:tc>
      </w:tr>
      <w:tr w14:paraId="7DC0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320AC4F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发票类型</w:t>
            </w:r>
          </w:p>
        </w:tc>
        <w:tc>
          <w:tcPr>
            <w:tcW w:w="3914" w:type="dxa"/>
            <w:gridSpan w:val="3"/>
            <w:vAlign w:val="center"/>
          </w:tcPr>
          <w:p w14:paraId="6232C60A">
            <w:pPr>
              <w:spacing w:afterLines="0" w:line="300" w:lineRule="exact"/>
              <w:jc w:val="center"/>
              <w:rPr>
                <w:rFonts w:ascii="Times New Roman" w:hAnsi="Times New Roman" w:eastAsia="仿宋"/>
                <w:szCs w:val="21"/>
              </w:rPr>
            </w:pPr>
            <w:r>
              <w:rPr>
                <w:rFonts w:hint="eastAsia" w:ascii="Times New Roman" w:hAnsi="Times New Roman" w:eastAsia="仿宋"/>
                <w:szCs w:val="21"/>
              </w:rPr>
              <w:t>增值税专用发票</w:t>
            </w:r>
            <w:bookmarkStart w:id="15" w:name="_GoBack"/>
            <w:bookmarkEnd w:id="15"/>
          </w:p>
        </w:tc>
        <w:tc>
          <w:tcPr>
            <w:tcW w:w="996" w:type="dxa"/>
            <w:gridSpan w:val="2"/>
            <w:vAlign w:val="center"/>
          </w:tcPr>
          <w:p w14:paraId="50E46212">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税点</w:t>
            </w:r>
          </w:p>
        </w:tc>
        <w:tc>
          <w:tcPr>
            <w:tcW w:w="3549" w:type="dxa"/>
            <w:gridSpan w:val="4"/>
            <w:vAlign w:val="center"/>
          </w:tcPr>
          <w:p w14:paraId="649330B7">
            <w:pPr>
              <w:spacing w:afterLines="0" w:line="300" w:lineRule="exact"/>
              <w:jc w:val="center"/>
              <w:rPr>
                <w:rFonts w:ascii="Times New Roman" w:hAnsi="Times New Roman" w:eastAsia="仿宋"/>
                <w:szCs w:val="21"/>
              </w:rPr>
            </w:pPr>
            <w:r>
              <w:rPr>
                <w:rFonts w:hint="eastAsia" w:ascii="Times New Roman" w:hAnsi="Times New Roman" w:eastAsia="仿宋"/>
                <w:szCs w:val="21"/>
              </w:rPr>
              <w:t>6%</w:t>
            </w:r>
          </w:p>
        </w:tc>
      </w:tr>
      <w:tr w14:paraId="183E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88" w:type="dxa"/>
            <w:vAlign w:val="center"/>
          </w:tcPr>
          <w:p w14:paraId="6A0760F1">
            <w:pPr>
              <w:spacing w:afterLines="0" w:line="300" w:lineRule="exact"/>
              <w:jc w:val="center"/>
              <w:rPr>
                <w:rFonts w:ascii="Times New Roman" w:hAnsi="Times New Roman" w:eastAsia="仿宋"/>
                <w:szCs w:val="21"/>
              </w:rPr>
            </w:pPr>
            <w:r>
              <w:rPr>
                <w:rFonts w:hint="eastAsia" w:ascii="Times New Roman" w:hAnsi="Times New Roman" w:eastAsia="仿宋"/>
                <w:szCs w:val="21"/>
              </w:rPr>
              <w:t>付款方式</w:t>
            </w:r>
          </w:p>
        </w:tc>
        <w:tc>
          <w:tcPr>
            <w:tcW w:w="8459" w:type="dxa"/>
            <w:gridSpan w:val="9"/>
            <w:shd w:val="clear" w:color="auto" w:fill="auto"/>
            <w:vAlign w:val="center"/>
          </w:tcPr>
          <w:p w14:paraId="381EFF8D">
            <w:pPr>
              <w:spacing w:afterLines="0" w:line="300" w:lineRule="exact"/>
              <w:jc w:val="left"/>
              <w:rPr>
                <w:rFonts w:hint="eastAsia" w:ascii="仿宋" w:hAnsi="仿宋" w:eastAsia="仿宋"/>
                <w:szCs w:val="21"/>
              </w:rPr>
            </w:pPr>
            <w:r>
              <w:rPr>
                <w:rFonts w:hint="eastAsia" w:ascii="Times New Roman" w:hAnsi="Times New Roman" w:eastAsia="仿宋"/>
                <w:szCs w:val="21"/>
              </w:rPr>
              <w:t>据实支付，每次服务结束后，根据危废运输联单上不同种类危废的数量，计算各项数量与其对应单价的乘积之和，为当次的服务费用。采购人在收到中标单位开具的等额发票之后，支付当次服务费。</w:t>
            </w:r>
          </w:p>
        </w:tc>
      </w:tr>
      <w:tr w14:paraId="003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88" w:type="dxa"/>
            <w:vAlign w:val="center"/>
          </w:tcPr>
          <w:p w14:paraId="361A33C9">
            <w:pPr>
              <w:spacing w:afterLines="0" w:line="300" w:lineRule="exact"/>
              <w:jc w:val="center"/>
              <w:rPr>
                <w:rFonts w:ascii="Times New Roman" w:hAnsi="Times New Roman" w:eastAsia="仿宋"/>
                <w:szCs w:val="21"/>
              </w:rPr>
            </w:pPr>
            <w:r>
              <w:rPr>
                <w:rFonts w:hint="eastAsia" w:ascii="Times New Roman" w:hAnsi="Times New Roman" w:eastAsia="仿宋"/>
                <w:szCs w:val="21"/>
              </w:rPr>
              <w:t>*服务期</w:t>
            </w:r>
          </w:p>
        </w:tc>
        <w:tc>
          <w:tcPr>
            <w:tcW w:w="3969" w:type="dxa"/>
            <w:gridSpan w:val="4"/>
            <w:vAlign w:val="center"/>
          </w:tcPr>
          <w:p w14:paraId="26417D3D">
            <w:pPr>
              <w:spacing w:afterLines="0" w:line="300" w:lineRule="exact"/>
              <w:jc w:val="left"/>
              <w:rPr>
                <w:rFonts w:ascii="Times New Roman" w:hAnsi="Times New Roman" w:eastAsia="仿宋"/>
                <w:szCs w:val="21"/>
              </w:rPr>
            </w:pPr>
            <w:r>
              <w:rPr>
                <w:rFonts w:hint="eastAsia" w:ascii="Times New Roman" w:hAnsi="Times New Roman" w:eastAsia="仿宋"/>
                <w:szCs w:val="21"/>
              </w:rPr>
              <w:t>1年</w:t>
            </w:r>
          </w:p>
        </w:tc>
        <w:tc>
          <w:tcPr>
            <w:tcW w:w="993" w:type="dxa"/>
            <w:gridSpan w:val="2"/>
            <w:vAlign w:val="center"/>
          </w:tcPr>
          <w:p w14:paraId="396E511F">
            <w:pPr>
              <w:spacing w:afterLines="0" w:line="300" w:lineRule="exact"/>
              <w:jc w:val="left"/>
              <w:rPr>
                <w:rFonts w:ascii="Times New Roman" w:hAnsi="Times New Roman" w:eastAsia="仿宋"/>
                <w:szCs w:val="21"/>
              </w:rPr>
            </w:pPr>
            <w:r>
              <w:rPr>
                <w:rFonts w:hint="eastAsia" w:ascii="Times New Roman" w:hAnsi="Times New Roman" w:eastAsia="仿宋"/>
                <w:szCs w:val="21"/>
              </w:rPr>
              <w:t>其他</w:t>
            </w:r>
          </w:p>
        </w:tc>
        <w:tc>
          <w:tcPr>
            <w:tcW w:w="3497" w:type="dxa"/>
            <w:gridSpan w:val="3"/>
            <w:vAlign w:val="center"/>
          </w:tcPr>
          <w:p w14:paraId="582AE26F">
            <w:pPr>
              <w:spacing w:afterLines="0" w:line="300" w:lineRule="exact"/>
              <w:jc w:val="left"/>
              <w:rPr>
                <w:rFonts w:ascii="Times New Roman" w:hAnsi="Times New Roman" w:eastAsia="仿宋"/>
                <w:szCs w:val="21"/>
              </w:rPr>
            </w:pPr>
          </w:p>
        </w:tc>
      </w:tr>
      <w:tr w14:paraId="31A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57C1C364">
            <w:pPr>
              <w:spacing w:afterLines="0" w:line="300" w:lineRule="exact"/>
              <w:jc w:val="left"/>
              <w:rPr>
                <w:rFonts w:ascii="Times New Roman" w:hAnsi="Times New Roman" w:eastAsia="仿宋"/>
                <w:szCs w:val="21"/>
              </w:rPr>
            </w:pPr>
            <w:r>
              <w:rPr>
                <w:rFonts w:hint="eastAsia" w:ascii="Times New Roman" w:hAnsi="Times New Roman" w:eastAsia="仿宋"/>
                <w:szCs w:val="21"/>
              </w:rPr>
              <w:t>1.如使用本报价单模板，标“*”为必填项;</w:t>
            </w:r>
          </w:p>
          <w:p w14:paraId="3F71BDF4">
            <w:pPr>
              <w:spacing w:afterLines="0" w:line="300" w:lineRule="exact"/>
              <w:jc w:val="left"/>
              <w:rPr>
                <w:rFonts w:ascii="Times New Roman" w:hAnsi="Times New Roman" w:eastAsia="仿宋"/>
                <w:szCs w:val="21"/>
              </w:rPr>
            </w:pPr>
            <w:r>
              <w:rPr>
                <w:rFonts w:hint="eastAsia" w:ascii="Times New Roman" w:hAnsi="Times New Roman" w:eastAsia="仿宋"/>
                <w:szCs w:val="21"/>
              </w:rPr>
              <w:t>2、本采购项目以不含税价进行对比，参选单位需填报含税价及税率。</w:t>
            </w:r>
          </w:p>
          <w:p w14:paraId="09910DB7">
            <w:pPr>
              <w:spacing w:afterLines="0" w:line="300" w:lineRule="exact"/>
              <w:jc w:val="left"/>
              <w:rPr>
                <w:rFonts w:ascii="Times New Roman" w:hAnsi="Times New Roman" w:eastAsia="仿宋"/>
                <w:szCs w:val="21"/>
              </w:rPr>
            </w:pPr>
            <w:r>
              <w:rPr>
                <w:rFonts w:hint="eastAsia" w:ascii="Times New Roman" w:hAnsi="Times New Roman" w:eastAsia="仿宋"/>
                <w:szCs w:val="21"/>
              </w:rPr>
              <w:t>3、本次采购签订单价合同，据实结算；</w:t>
            </w:r>
          </w:p>
          <w:p w14:paraId="1CC7D151">
            <w:pPr>
              <w:spacing w:afterLines="0" w:line="300" w:lineRule="exact"/>
              <w:jc w:val="left"/>
              <w:rPr>
                <w:rFonts w:ascii="Times New Roman" w:hAnsi="Times New Roman" w:eastAsia="仿宋"/>
                <w:szCs w:val="21"/>
              </w:rPr>
            </w:pPr>
            <w:r>
              <w:rPr>
                <w:rFonts w:hint="eastAsia" w:ascii="Times New Roman" w:hAnsi="Times New Roman" w:eastAsia="仿宋"/>
                <w:szCs w:val="21"/>
              </w:rPr>
              <w:t>4.合同不含税价计算方式:合同不含税价=含税价/(1+税率)；</w:t>
            </w:r>
          </w:p>
          <w:p w14:paraId="38B5CDDE">
            <w:pPr>
              <w:spacing w:afterLines="0" w:line="300" w:lineRule="exact"/>
              <w:jc w:val="left"/>
              <w:rPr>
                <w:rFonts w:ascii="Times New Roman" w:hAnsi="Times New Roman" w:eastAsia="仿宋"/>
              </w:rPr>
            </w:pPr>
            <w:r>
              <w:rPr>
                <w:rFonts w:hint="eastAsia" w:ascii="Times New Roman" w:hAnsi="Times New Roman" w:eastAsia="仿宋"/>
                <w:szCs w:val="21"/>
              </w:rPr>
              <w:t>5、以上报价为最终报价，无现场议价，报价人参与报价即视为已知悉并接受该情况。</w:t>
            </w:r>
          </w:p>
        </w:tc>
      </w:tr>
    </w:tbl>
    <w:p w14:paraId="051AEBB5">
      <w:pPr>
        <w:snapToGrid w:val="0"/>
        <w:spacing w:afterLines="0" w:line="360" w:lineRule="auto"/>
        <w:ind w:firstLine="525" w:firstLineChars="250"/>
        <w:jc w:val="right"/>
        <w:rPr>
          <w:rFonts w:ascii="Times New Roman" w:hAnsi="Times New Roman" w:eastAsia="仿宋" w:cs="Arial"/>
        </w:rPr>
      </w:pPr>
    </w:p>
    <w:p w14:paraId="74D13214">
      <w:pPr>
        <w:wordWrap w:val="0"/>
        <w:snapToGrid w:val="0"/>
        <w:spacing w:afterLines="0" w:line="360" w:lineRule="auto"/>
        <w:ind w:firstLine="525" w:firstLineChars="250"/>
        <w:jc w:val="right"/>
        <w:rPr>
          <w:rFonts w:ascii="Times New Roman" w:hAnsi="Times New Roman" w:eastAsia="仿宋" w:cs="Arial"/>
        </w:rPr>
      </w:pPr>
      <w:r>
        <w:rPr>
          <w:rFonts w:hint="eastAsia" w:ascii="Times New Roman" w:hAnsi="Times New Roman" w:eastAsia="仿宋" w:cs="Arial"/>
        </w:rPr>
        <w:t xml:space="preserve">报价单位盖章 </w:t>
      </w:r>
      <w:r>
        <w:rPr>
          <w:rFonts w:ascii="Times New Roman" w:hAnsi="Times New Roman" w:eastAsia="仿宋" w:cs="Arial"/>
        </w:rPr>
        <w:t xml:space="preserve">          </w:t>
      </w:r>
    </w:p>
    <w:p w14:paraId="187B135E">
      <w:pPr>
        <w:wordWrap w:val="0"/>
        <w:snapToGrid w:val="0"/>
        <w:spacing w:afterLines="0" w:line="360" w:lineRule="auto"/>
        <w:ind w:firstLine="525" w:firstLineChars="250"/>
        <w:jc w:val="right"/>
        <w:rPr>
          <w:rFonts w:ascii="Times New Roman" w:hAnsi="Times New Roman" w:eastAsia="仿宋"/>
          <w:b/>
          <w:bCs/>
          <w:kern w:val="0"/>
          <w:sz w:val="24"/>
        </w:rPr>
      </w:pPr>
      <w:r>
        <w:rPr>
          <w:rFonts w:hint="eastAsia" w:ascii="Times New Roman" w:hAnsi="Times New Roman" w:eastAsia="仿宋" w:cs="Arial"/>
        </w:rPr>
        <w:t xml:space="preserve">时间：    年      月   日   </w:t>
      </w:r>
      <w:r>
        <w:rPr>
          <w:rFonts w:hint="eastAsia" w:ascii="Times New Roman" w:hAnsi="Times New Roman" w:eastAsia="仿宋"/>
          <w:b/>
          <w:bCs/>
          <w:kern w:val="0"/>
          <w:sz w:val="24"/>
        </w:rPr>
        <w:br w:type="page"/>
      </w:r>
    </w:p>
    <w:p w14:paraId="44A2B86B">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响应供应商认为有必要提供的其他材料</w:t>
      </w:r>
      <w:bookmarkEnd w:id="13"/>
      <w:bookmarkEnd w:id="14"/>
    </w:p>
    <w:p w14:paraId="3189AE59">
      <w:pPr>
        <w:spacing w:after="78" w:line="288" w:lineRule="auto"/>
        <w:rPr>
          <w:rFonts w:hint="eastAsia" w:ascii="仿宋" w:hAnsi="仿宋" w:eastAsia="仿宋"/>
          <w:b/>
          <w:szCs w:val="21"/>
        </w:rPr>
      </w:pPr>
    </w:p>
    <w:p w14:paraId="09F25F22">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CF007-06E6-4767-BB51-1441298748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B41D85-E1C0-438E-91FB-2E006BCAFBFF}"/>
  </w:font>
  <w:font w:name="Arial">
    <w:panose1 w:val="020B0604020202020204"/>
    <w:charset w:val="00"/>
    <w:family w:val="swiss"/>
    <w:pitch w:val="default"/>
    <w:sig w:usb0="E0002EFF" w:usb1="C000785B" w:usb2="00000009" w:usb3="00000000" w:csb0="400001FF" w:csb1="FFFF0000"/>
    <w:embedRegular r:id="rId3" w:fontKey="{0EDC3D2F-8767-4916-B6F5-9CCD67FFDAF1}"/>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B7DFEB50-6913-48B3-A320-C0147EE03011}"/>
  </w:font>
  <w:font w:name="仿宋">
    <w:panose1 w:val="02010609060101010101"/>
    <w:charset w:val="86"/>
    <w:family w:val="modern"/>
    <w:pitch w:val="default"/>
    <w:sig w:usb0="800002BF" w:usb1="38CF7CFA" w:usb2="00000016" w:usb3="00000000" w:csb0="00040001" w:csb1="00000000"/>
    <w:embedRegular r:id="rId5" w:fontKey="{3BE1504F-92BA-4F20-BC38-315ACF41966C}"/>
  </w:font>
  <w:font w:name="方正小标宋简体">
    <w:altName w:val="方正舒体"/>
    <w:panose1 w:val="00000000000000000000"/>
    <w:charset w:val="86"/>
    <w:family w:val="auto"/>
    <w:pitch w:val="default"/>
    <w:sig w:usb0="00000000" w:usb1="00000000" w:usb2="00000000" w:usb3="00000000" w:csb0="00040000" w:csb1="00000000"/>
    <w:embedRegular r:id="rId6" w:fontKey="{D20418BB-C916-4609-9D65-C400F509DF3D}"/>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embedRegular r:id="rId7" w:fontKey="{6475F22F-22F4-43DA-9136-8F932B24825B}"/>
  </w:font>
  <w:font w:name="长城小标宋体">
    <w:altName w:val="宋体"/>
    <w:panose1 w:val="00000000000000000000"/>
    <w:charset w:val="86"/>
    <w:family w:val="auto"/>
    <w:pitch w:val="default"/>
    <w:sig w:usb0="00000000" w:usb1="00000000" w:usb2="00000000" w:usb3="00000000" w:csb0="00000000" w:csb1="00000000"/>
    <w:embedRegular r:id="rId8" w:fontKey="{4551158A-6013-412B-AA53-AFF959769278}"/>
  </w:font>
  <w:font w:name="微软雅黑">
    <w:panose1 w:val="020B0503020204020204"/>
    <w:charset w:val="86"/>
    <w:family w:val="swiss"/>
    <w:pitch w:val="default"/>
    <w:sig w:usb0="80000287" w:usb1="2ACF3C50" w:usb2="00000016" w:usb3="00000000" w:csb0="0004001F" w:csb1="00000000"/>
    <w:embedRegular r:id="rId9" w:fontKey="{1E3DFB3E-CB6A-4FB2-B240-4E464AF8B2EB}"/>
  </w:font>
  <w:font w:name="Times New Roman Regular">
    <w:altName w:val="Times New Roman"/>
    <w:panose1 w:val="00000000000000000000"/>
    <w:charset w:val="00"/>
    <w:family w:val="auto"/>
    <w:pitch w:val="default"/>
    <w:sig w:usb0="00000000" w:usb1="00000000" w:usb2="00000009" w:usb3="00000000" w:csb0="400001FF" w:csb1="FFFF0000"/>
    <w:embedRegular r:id="rId10" w:fontKey="{CFFC19F5-7097-452C-A41F-23B4854D0A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3048F4A">
        <w:pPr>
          <w:pStyle w:val="15"/>
          <w:spacing w:after="60"/>
        </w:pPr>
        <w:r>
          <w:t xml:space="preserve">     </w:t>
        </w:r>
      </w:p>
    </w:sdtContent>
  </w:sdt>
  <w:p w14:paraId="10F9F568">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33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8305">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B5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9AF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6C32">
    <w:pPr>
      <w:pStyle w:val="16"/>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473C07"/>
    <w:multiLevelType w:val="multilevel"/>
    <w:tmpl w:val="04473C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C0AB28"/>
    <w:multiLevelType w:val="multilevel"/>
    <w:tmpl w:val="63C0AB2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85ECE93"/>
    <w:multiLevelType w:val="multilevel"/>
    <w:tmpl w:val="685ECE9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40C2"/>
    <w:rsid w:val="000068F2"/>
    <w:rsid w:val="0001062A"/>
    <w:rsid w:val="0001156F"/>
    <w:rsid w:val="00012A78"/>
    <w:rsid w:val="000141CF"/>
    <w:rsid w:val="000167A2"/>
    <w:rsid w:val="00017E84"/>
    <w:rsid w:val="000225A9"/>
    <w:rsid w:val="00023C92"/>
    <w:rsid w:val="000243DA"/>
    <w:rsid w:val="00024B0C"/>
    <w:rsid w:val="00026CC7"/>
    <w:rsid w:val="0003095E"/>
    <w:rsid w:val="00031F7A"/>
    <w:rsid w:val="000328EA"/>
    <w:rsid w:val="0003380B"/>
    <w:rsid w:val="00034910"/>
    <w:rsid w:val="00034C63"/>
    <w:rsid w:val="00034DD1"/>
    <w:rsid w:val="00035219"/>
    <w:rsid w:val="00035B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4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658B"/>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1D62"/>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CE7"/>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752"/>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258E"/>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1C8"/>
    <w:rsid w:val="005607C5"/>
    <w:rsid w:val="0056148D"/>
    <w:rsid w:val="005632AA"/>
    <w:rsid w:val="00563DFD"/>
    <w:rsid w:val="00564C85"/>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5B4B"/>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5F9C"/>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A67"/>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829"/>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29CE"/>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08C2"/>
    <w:rsid w:val="00841972"/>
    <w:rsid w:val="00841F61"/>
    <w:rsid w:val="00844140"/>
    <w:rsid w:val="008449FD"/>
    <w:rsid w:val="008453B1"/>
    <w:rsid w:val="008453BD"/>
    <w:rsid w:val="008465A1"/>
    <w:rsid w:val="00846F07"/>
    <w:rsid w:val="00850729"/>
    <w:rsid w:val="00851AD4"/>
    <w:rsid w:val="00852EA8"/>
    <w:rsid w:val="0085314D"/>
    <w:rsid w:val="00854363"/>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3F87"/>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070D"/>
    <w:rsid w:val="00A30F7B"/>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C77B0"/>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1F9"/>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3EA4"/>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B5F"/>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56F"/>
    <w:rsid w:val="00C42ADD"/>
    <w:rsid w:val="00C43BB0"/>
    <w:rsid w:val="00C450D9"/>
    <w:rsid w:val="00C4618D"/>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866"/>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4ABE"/>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767F"/>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6E54"/>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3D51"/>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91C"/>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5B78"/>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633"/>
    <w:rsid w:val="00F40726"/>
    <w:rsid w:val="00F409BD"/>
    <w:rsid w:val="00F4139E"/>
    <w:rsid w:val="00F41A44"/>
    <w:rsid w:val="00F42772"/>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F4461A"/>
    <w:rsid w:val="02BE756F"/>
    <w:rsid w:val="06F9F432"/>
    <w:rsid w:val="080F3D73"/>
    <w:rsid w:val="08E10E2B"/>
    <w:rsid w:val="0A886720"/>
    <w:rsid w:val="0B0E30C9"/>
    <w:rsid w:val="0D7F8C1E"/>
    <w:rsid w:val="0DAFDDD2"/>
    <w:rsid w:val="0FD61205"/>
    <w:rsid w:val="105359F4"/>
    <w:rsid w:val="10872EA8"/>
    <w:rsid w:val="10DD77C5"/>
    <w:rsid w:val="13AFEC81"/>
    <w:rsid w:val="13FA129B"/>
    <w:rsid w:val="1792661F"/>
    <w:rsid w:val="17A305D2"/>
    <w:rsid w:val="17F46066"/>
    <w:rsid w:val="19A00859"/>
    <w:rsid w:val="19AF32D8"/>
    <w:rsid w:val="19C91652"/>
    <w:rsid w:val="1A274A18"/>
    <w:rsid w:val="1B3FC108"/>
    <w:rsid w:val="1BBF5AD0"/>
    <w:rsid w:val="1BFB4A9B"/>
    <w:rsid w:val="1BFE3282"/>
    <w:rsid w:val="1D8C1793"/>
    <w:rsid w:val="1DC4251B"/>
    <w:rsid w:val="1E44160E"/>
    <w:rsid w:val="1F0F1A56"/>
    <w:rsid w:val="1F7F9C30"/>
    <w:rsid w:val="1FB39FF7"/>
    <w:rsid w:val="1FB54372"/>
    <w:rsid w:val="1FFF4E3F"/>
    <w:rsid w:val="226444BC"/>
    <w:rsid w:val="24525164"/>
    <w:rsid w:val="257FF5EF"/>
    <w:rsid w:val="27BED872"/>
    <w:rsid w:val="28335D7B"/>
    <w:rsid w:val="29E9B391"/>
    <w:rsid w:val="2A975780"/>
    <w:rsid w:val="2AFDB16C"/>
    <w:rsid w:val="2B7D8E96"/>
    <w:rsid w:val="2B9B7C50"/>
    <w:rsid w:val="2C87EFA4"/>
    <w:rsid w:val="2CEFA2BD"/>
    <w:rsid w:val="2D2D55C6"/>
    <w:rsid w:val="2D9E346A"/>
    <w:rsid w:val="2EFF028F"/>
    <w:rsid w:val="2EFF0385"/>
    <w:rsid w:val="2F7968EA"/>
    <w:rsid w:val="2FDFB298"/>
    <w:rsid w:val="2FEBB001"/>
    <w:rsid w:val="302278F0"/>
    <w:rsid w:val="30BF60A9"/>
    <w:rsid w:val="30EE09A0"/>
    <w:rsid w:val="31276DA7"/>
    <w:rsid w:val="323A73AF"/>
    <w:rsid w:val="330730BE"/>
    <w:rsid w:val="33BA1982"/>
    <w:rsid w:val="340E3EBE"/>
    <w:rsid w:val="35313D4E"/>
    <w:rsid w:val="35BA33FC"/>
    <w:rsid w:val="36B91E0A"/>
    <w:rsid w:val="377B856B"/>
    <w:rsid w:val="37FEEEDA"/>
    <w:rsid w:val="391FB7C6"/>
    <w:rsid w:val="3956852C"/>
    <w:rsid w:val="397D4866"/>
    <w:rsid w:val="3A0577A9"/>
    <w:rsid w:val="3A3B0BB3"/>
    <w:rsid w:val="3A51BFC5"/>
    <w:rsid w:val="3A7647DA"/>
    <w:rsid w:val="3AA47338"/>
    <w:rsid w:val="3AE03C9D"/>
    <w:rsid w:val="3AFD93B8"/>
    <w:rsid w:val="3B1F391F"/>
    <w:rsid w:val="3B459C86"/>
    <w:rsid w:val="3B5F884B"/>
    <w:rsid w:val="3B95BADD"/>
    <w:rsid w:val="3C5D14BF"/>
    <w:rsid w:val="3C7BEB7C"/>
    <w:rsid w:val="3D6C951B"/>
    <w:rsid w:val="3DB56025"/>
    <w:rsid w:val="3DF338D5"/>
    <w:rsid w:val="3DFF524D"/>
    <w:rsid w:val="3DFF7079"/>
    <w:rsid w:val="3DFFBEE7"/>
    <w:rsid w:val="3EA7FE48"/>
    <w:rsid w:val="3EF86484"/>
    <w:rsid w:val="3EFBCAFF"/>
    <w:rsid w:val="3EFE69D5"/>
    <w:rsid w:val="3EFFC981"/>
    <w:rsid w:val="3FBF5430"/>
    <w:rsid w:val="3FD37539"/>
    <w:rsid w:val="3FDFD096"/>
    <w:rsid w:val="3FED8FF1"/>
    <w:rsid w:val="3FFCCAC4"/>
    <w:rsid w:val="3FFE10BE"/>
    <w:rsid w:val="40AC2991"/>
    <w:rsid w:val="417EEE12"/>
    <w:rsid w:val="42652233"/>
    <w:rsid w:val="43EE5F1E"/>
    <w:rsid w:val="43FB0A8D"/>
    <w:rsid w:val="44292F68"/>
    <w:rsid w:val="456267AA"/>
    <w:rsid w:val="47142C3E"/>
    <w:rsid w:val="477F8B44"/>
    <w:rsid w:val="49B50D76"/>
    <w:rsid w:val="49C317F9"/>
    <w:rsid w:val="49FE4369"/>
    <w:rsid w:val="4ACDDF1D"/>
    <w:rsid w:val="4BBA3990"/>
    <w:rsid w:val="4D440637"/>
    <w:rsid w:val="4DFF1032"/>
    <w:rsid w:val="4EFDA9D6"/>
    <w:rsid w:val="4EFF30A2"/>
    <w:rsid w:val="4F10078B"/>
    <w:rsid w:val="4F155DA1"/>
    <w:rsid w:val="4F4F0D8E"/>
    <w:rsid w:val="4FF9BA94"/>
    <w:rsid w:val="4FFC2348"/>
    <w:rsid w:val="50525401"/>
    <w:rsid w:val="557F0F30"/>
    <w:rsid w:val="559E5CE3"/>
    <w:rsid w:val="56DD8954"/>
    <w:rsid w:val="570959A2"/>
    <w:rsid w:val="5718258C"/>
    <w:rsid w:val="573C0B3A"/>
    <w:rsid w:val="57AFC3C2"/>
    <w:rsid w:val="59FF3A15"/>
    <w:rsid w:val="5AFFC0B6"/>
    <w:rsid w:val="5B9D2296"/>
    <w:rsid w:val="5BA54009"/>
    <w:rsid w:val="5BFAA3C6"/>
    <w:rsid w:val="5C163B75"/>
    <w:rsid w:val="5D69DE7E"/>
    <w:rsid w:val="5D7BEC1C"/>
    <w:rsid w:val="5DDB0F78"/>
    <w:rsid w:val="5E737D05"/>
    <w:rsid w:val="5E8BD0E0"/>
    <w:rsid w:val="5EAB6836"/>
    <w:rsid w:val="5EF54E86"/>
    <w:rsid w:val="5F12D39A"/>
    <w:rsid w:val="5F16799C"/>
    <w:rsid w:val="5F9C4EB5"/>
    <w:rsid w:val="5FDF7957"/>
    <w:rsid w:val="5FEBE7E7"/>
    <w:rsid w:val="5FF13CC0"/>
    <w:rsid w:val="5FF92615"/>
    <w:rsid w:val="5FF9696C"/>
    <w:rsid w:val="5FFDF639"/>
    <w:rsid w:val="5FFFB48E"/>
    <w:rsid w:val="60FD48E7"/>
    <w:rsid w:val="62107C5E"/>
    <w:rsid w:val="633C8FA8"/>
    <w:rsid w:val="633F0871"/>
    <w:rsid w:val="637FE448"/>
    <w:rsid w:val="63BD36A8"/>
    <w:rsid w:val="6412435A"/>
    <w:rsid w:val="654FD8A0"/>
    <w:rsid w:val="662660A8"/>
    <w:rsid w:val="67194FDD"/>
    <w:rsid w:val="6775E9D8"/>
    <w:rsid w:val="67E3343E"/>
    <w:rsid w:val="67F565AC"/>
    <w:rsid w:val="67F73327"/>
    <w:rsid w:val="68216DF9"/>
    <w:rsid w:val="68FA8082"/>
    <w:rsid w:val="69BF38A2"/>
    <w:rsid w:val="69EFC425"/>
    <w:rsid w:val="6A6B52B8"/>
    <w:rsid w:val="6ACFA4E7"/>
    <w:rsid w:val="6B312495"/>
    <w:rsid w:val="6B86ABFC"/>
    <w:rsid w:val="6BA92576"/>
    <w:rsid w:val="6BBD76DF"/>
    <w:rsid w:val="6BDA34B9"/>
    <w:rsid w:val="6BEF6F0A"/>
    <w:rsid w:val="6BF6364D"/>
    <w:rsid w:val="6C731664"/>
    <w:rsid w:val="6CD839F6"/>
    <w:rsid w:val="6CF75AD6"/>
    <w:rsid w:val="6D2869AA"/>
    <w:rsid w:val="6D350F65"/>
    <w:rsid w:val="6D36FBAA"/>
    <w:rsid w:val="6D507416"/>
    <w:rsid w:val="6DE7364E"/>
    <w:rsid w:val="6DF8FC16"/>
    <w:rsid w:val="6DFAD7F2"/>
    <w:rsid w:val="6DFE24B9"/>
    <w:rsid w:val="6DFF08D6"/>
    <w:rsid w:val="6EFB6A16"/>
    <w:rsid w:val="6F36F6F4"/>
    <w:rsid w:val="6FA6DB15"/>
    <w:rsid w:val="6FAB380F"/>
    <w:rsid w:val="6FBADB8D"/>
    <w:rsid w:val="6FDDBDCB"/>
    <w:rsid w:val="6FEAAF68"/>
    <w:rsid w:val="6FFA9CDC"/>
    <w:rsid w:val="6FFB74FC"/>
    <w:rsid w:val="6FFDAE21"/>
    <w:rsid w:val="6FFE89B2"/>
    <w:rsid w:val="6FFF16F2"/>
    <w:rsid w:val="6FFFEBAB"/>
    <w:rsid w:val="705FDC4F"/>
    <w:rsid w:val="706F478E"/>
    <w:rsid w:val="716D2B68"/>
    <w:rsid w:val="71D3FAB0"/>
    <w:rsid w:val="71F3754E"/>
    <w:rsid w:val="73EFA308"/>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1A2182"/>
    <w:rsid w:val="79BB9841"/>
    <w:rsid w:val="79C27A98"/>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E61702"/>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next w:val="8"/>
    <w:qFormat/>
    <w:uiPriority w:val="0"/>
    <w:pPr>
      <w:ind w:firstLine="420" w:firstLineChars="200"/>
    </w:pPr>
  </w:style>
  <w:style w:type="paragraph" w:customStyle="1" w:styleId="8">
    <w:name w:val="*正文"/>
    <w:basedOn w:val="1"/>
    <w:qFormat/>
    <w:uiPriority w:val="0"/>
    <w:pPr>
      <w:ind w:firstLine="200"/>
    </w:pPr>
    <w:rPr>
      <w:szCs w:val="20"/>
    </w:rPr>
  </w:style>
  <w:style w:type="paragraph" w:styleId="9">
    <w:name w:val="annotation text"/>
    <w:basedOn w:val="1"/>
    <w:link w:val="34"/>
    <w:qFormat/>
    <w:uiPriority w:val="99"/>
    <w:pPr>
      <w:spacing w:afterLines="0" w:line="240" w:lineRule="auto"/>
      <w:jc w:val="left"/>
    </w:pPr>
    <w:rPr>
      <w:rFonts w:ascii="Times New Roman" w:hAnsi="Times New Roman"/>
    </w:rPr>
  </w:style>
  <w:style w:type="paragraph" w:styleId="10">
    <w:name w:val="Body Text"/>
    <w:basedOn w:val="1"/>
    <w:next w:val="1"/>
    <w:qFormat/>
    <w:uiPriority w:val="99"/>
    <w:pPr>
      <w:tabs>
        <w:tab w:val="left" w:pos="4760"/>
      </w:tabs>
      <w:spacing w:after="78"/>
      <w:jc w:val="left"/>
    </w:pPr>
  </w:style>
  <w:style w:type="paragraph" w:styleId="11">
    <w:name w:val="Body Text Indent"/>
    <w:basedOn w:val="1"/>
    <w:qFormat/>
    <w:uiPriority w:val="0"/>
    <w:pPr>
      <w:tabs>
        <w:tab w:val="left" w:pos="4760"/>
      </w:tabs>
      <w:spacing w:after="120"/>
      <w:ind w:left="420" w:leftChars="200"/>
    </w:pPr>
  </w:style>
  <w:style w:type="paragraph" w:styleId="12">
    <w:name w:val="Plain Text"/>
    <w:basedOn w:val="1"/>
    <w:qFormat/>
    <w:uiPriority w:val="0"/>
    <w:pPr>
      <w:spacing w:afterLines="0" w:line="240" w:lineRule="auto"/>
    </w:pPr>
    <w:rPr>
      <w:rFonts w:ascii="宋体" w:hAnsi="Courier New"/>
      <w:szCs w:val="20"/>
    </w:rPr>
  </w:style>
  <w:style w:type="paragraph" w:styleId="13">
    <w:name w:val="Body Text Indent 2"/>
    <w:basedOn w:val="1"/>
    <w:link w:val="62"/>
    <w:semiHidden/>
    <w:unhideWhenUsed/>
    <w:qFormat/>
    <w:uiPriority w:val="0"/>
    <w:pPr>
      <w:spacing w:after="120" w:line="480" w:lineRule="auto"/>
      <w:ind w:left="420" w:leftChars="200"/>
    </w:pPr>
  </w:style>
  <w:style w:type="paragraph" w:styleId="14">
    <w:name w:val="Balloon Text"/>
    <w:basedOn w:val="1"/>
    <w:link w:val="33"/>
    <w:qFormat/>
    <w:uiPriority w:val="0"/>
    <w:pPr>
      <w:spacing w:line="240" w:lineRule="auto"/>
    </w:pPr>
    <w:rPr>
      <w:sz w:val="18"/>
      <w:szCs w:val="18"/>
    </w:rPr>
  </w:style>
  <w:style w:type="paragraph" w:styleId="15">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6">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9"/>
    <w:next w:val="9"/>
    <w:link w:val="35"/>
    <w:qFormat/>
    <w:uiPriority w:val="0"/>
    <w:pPr>
      <w:spacing w:afterLines="25" w:line="300" w:lineRule="auto"/>
    </w:pPr>
    <w:rPr>
      <w:rFonts w:ascii="Arial" w:hAnsi="Arial"/>
      <w:b/>
      <w:bCs/>
    </w:rPr>
  </w:style>
  <w:style w:type="paragraph" w:styleId="21">
    <w:name w:val="Body Text First Indent 2"/>
    <w:basedOn w:val="11"/>
    <w:link w:val="56"/>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4"/>
    <w:link w:val="14"/>
    <w:qFormat/>
    <w:uiPriority w:val="0"/>
    <w:rPr>
      <w:rFonts w:ascii="Arial" w:hAnsi="Arial" w:eastAsia="宋体" w:cs="Times New Roman"/>
      <w:kern w:val="2"/>
      <w:sz w:val="18"/>
      <w:szCs w:val="18"/>
    </w:rPr>
  </w:style>
  <w:style w:type="character" w:customStyle="1" w:styleId="34">
    <w:name w:val="批注文字 字符"/>
    <w:basedOn w:val="24"/>
    <w:link w:val="9"/>
    <w:qFormat/>
    <w:uiPriority w:val="99"/>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Arial" w:hAnsi="Arial" w:eastAsia="宋体" w:cs="Times New Roman"/>
      <w:b/>
      <w:bCs/>
      <w:kern w:val="2"/>
      <w:sz w:val="21"/>
      <w:szCs w:val="24"/>
    </w:rPr>
  </w:style>
  <w:style w:type="character" w:customStyle="1" w:styleId="36">
    <w:name w:val="font01"/>
    <w:basedOn w:val="24"/>
    <w:qFormat/>
    <w:uiPriority w:val="0"/>
    <w:rPr>
      <w:rFonts w:hint="eastAsia" w:ascii="宋体" w:hAnsi="宋体" w:eastAsia="宋体"/>
      <w:color w:val="000000"/>
      <w:sz w:val="20"/>
      <w:szCs w:val="20"/>
      <w:u w:val="none"/>
      <w:vertAlign w:val="superscript"/>
    </w:rPr>
  </w:style>
  <w:style w:type="character" w:customStyle="1" w:styleId="37">
    <w:name w:val="font31"/>
    <w:basedOn w:val="24"/>
    <w:qFormat/>
    <w:uiPriority w:val="0"/>
    <w:rPr>
      <w:rFonts w:hint="eastAsia" w:ascii="宋体" w:hAnsi="宋体" w:eastAsia="宋体"/>
      <w:color w:val="000000"/>
      <w:sz w:val="20"/>
      <w:szCs w:val="20"/>
      <w:u w:val="none"/>
    </w:rPr>
  </w:style>
  <w:style w:type="character" w:customStyle="1" w:styleId="38">
    <w:name w:val="页脚 字符"/>
    <w:basedOn w:val="24"/>
    <w:link w:val="15"/>
    <w:qFormat/>
    <w:uiPriority w:val="99"/>
    <w:rPr>
      <w:rFonts w:ascii="Arial" w:hAnsi="Arial" w:eastAsia="楷体_GB2312" w:cs="Times New Roman"/>
      <w:sz w:val="18"/>
      <w:szCs w:val="18"/>
    </w:rPr>
  </w:style>
  <w:style w:type="character" w:customStyle="1" w:styleId="39">
    <w:name w:val="页眉 字符"/>
    <w:basedOn w:val="24"/>
    <w:link w:val="16"/>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4"/>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4"/>
    <w:link w:val="6"/>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4"/>
    <w:qFormat/>
    <w:uiPriority w:val="0"/>
    <w:rPr>
      <w:rFonts w:hint="eastAsia" w:ascii="宋体" w:hAnsi="宋体" w:eastAsia="宋体"/>
      <w:color w:val="000000"/>
      <w:sz w:val="18"/>
      <w:szCs w:val="18"/>
      <w:u w:val="none"/>
    </w:rPr>
  </w:style>
  <w:style w:type="character" w:customStyle="1" w:styleId="52">
    <w:name w:val="font11"/>
    <w:basedOn w:val="24"/>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4"/>
    <w:link w:val="21"/>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3"/>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4"/>
    <w:link w:val="13"/>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修订7"/>
    <w:hidden/>
    <w:unhideWhenUsed/>
    <w:qFormat/>
    <w:uiPriority w:val="99"/>
    <w:rPr>
      <w:rFonts w:ascii="Arial" w:hAnsi="Arial" w:eastAsia="宋体" w:cs="Times New Roman"/>
      <w:kern w:val="2"/>
      <w:sz w:val="21"/>
      <w:szCs w:val="24"/>
      <w:lang w:val="en-US" w:eastAsia="zh-CN" w:bidi="ar-SA"/>
    </w:rPr>
  </w:style>
  <w:style w:type="character" w:customStyle="1" w:styleId="70">
    <w:name w:val="font41"/>
    <w:basedOn w:val="24"/>
    <w:qFormat/>
    <w:uiPriority w:val="0"/>
    <w:rPr>
      <w:rFonts w:ascii="仿宋" w:hAnsi="仿宋" w:eastAsia="仿宋" w:cs="仿宋"/>
      <w:color w:val="000000"/>
      <w:sz w:val="28"/>
      <w:szCs w:val="28"/>
      <w:u w:val="none"/>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49</Words>
  <Characters>49</Characters>
  <Lines>17</Lines>
  <Paragraphs>29</Paragraphs>
  <TotalTime>150</TotalTime>
  <ScaleCrop>false</ScaleCrop>
  <LinksUpToDate>false</LinksUpToDate>
  <CharactersWithSpaces>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2025-08-27T06:06:09Z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